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0F" w:rsidRDefault="0007520F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仿宋"/>
          <w:b/>
          <w:bCs/>
          <w:sz w:val="32"/>
          <w:szCs w:val="32"/>
        </w:rPr>
        <w:t>2</w:t>
      </w:r>
    </w:p>
    <w:p w:rsidR="0007520F" w:rsidRDefault="000752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7520F" w:rsidRDefault="000752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盐湖区普惠性托育服务机构认定协议书</w:t>
      </w:r>
    </w:p>
    <w:p w:rsidR="0007520F" w:rsidRDefault="000752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盐湖区卫生健康和体育局</w:t>
      </w:r>
    </w:p>
    <w:p w:rsidR="0007520F" w:rsidRDefault="0007520F">
      <w:pPr>
        <w:tabs>
          <w:tab w:val="left" w:pos="8005"/>
        </w:tabs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（机构注册名称）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ab/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520F" w:rsidRDefault="0007520F">
      <w:pPr>
        <w:pStyle w:val="Heading1"/>
        <w:widowControl/>
        <w:shd w:val="clear" w:color="auto" w:fill="FFFFFF"/>
        <w:spacing w:before="0" w:beforeAutospacing="0" w:after="0" w:afterAutospacing="0" w:line="630" w:lineRule="exact"/>
        <w:ind w:firstLineChars="200" w:firstLine="640"/>
        <w:jc w:val="both"/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>根据《</w:t>
      </w:r>
      <w:r>
        <w:rPr>
          <w:rStyle w:val="Strong"/>
          <w:rFonts w:ascii="仿宋" w:eastAsia="仿宋" w:hAnsi="仿宋" w:cs="仿宋" w:hint="eastAsia"/>
          <w:bCs/>
          <w:color w:val="222222"/>
          <w:kern w:val="0"/>
          <w:sz w:val="32"/>
          <w:szCs w:val="32"/>
          <w:shd w:val="clear" w:color="auto" w:fill="FFFFFF"/>
          <w:lang/>
        </w:rPr>
        <w:t>盐湖区</w:t>
      </w:r>
      <w:r>
        <w:rPr>
          <w:rFonts w:ascii="仿宋" w:eastAsia="仿宋" w:hAnsi="仿宋" w:cs="仿宋" w:hint="eastAsia"/>
          <w:b w:val="0"/>
          <w:bCs/>
          <w:color w:val="222222"/>
          <w:sz w:val="32"/>
          <w:szCs w:val="32"/>
          <w:shd w:val="clear" w:color="auto" w:fill="FFFFFF"/>
        </w:rPr>
        <w:t>普惠托育机构认定</w:t>
      </w:r>
      <w:r>
        <w:rPr>
          <w:rStyle w:val="Strong"/>
          <w:rFonts w:ascii="仿宋" w:eastAsia="仿宋" w:hAnsi="仿宋" w:cs="仿宋" w:hint="eastAsia"/>
          <w:bCs/>
          <w:color w:val="222222"/>
          <w:kern w:val="0"/>
          <w:sz w:val="32"/>
          <w:szCs w:val="32"/>
          <w:shd w:val="clear" w:color="auto" w:fill="FFFFFF"/>
          <w:lang/>
        </w:rPr>
        <w:t>实施办法</w:t>
      </w:r>
      <w:r>
        <w:rPr>
          <w:rFonts w:ascii="仿宋" w:eastAsia="仿宋" w:hAnsi="仿宋" w:cs="仿宋" w:hint="eastAsia"/>
          <w:b w:val="0"/>
          <w:bCs/>
          <w:color w:val="222222"/>
          <w:sz w:val="32"/>
          <w:szCs w:val="32"/>
          <w:shd w:val="clear" w:color="auto" w:fill="FFFFFF"/>
        </w:rPr>
        <w:t>（试行）</w:t>
      </w:r>
      <w:r>
        <w:rPr>
          <w:rFonts w:ascii="仿宋" w:eastAsia="仿宋" w:hAnsi="仿宋" w:cs="仿宋" w:hint="eastAsia"/>
          <w:b w:val="0"/>
          <w:bCs/>
          <w:sz w:val="32"/>
          <w:szCs w:val="32"/>
        </w:rPr>
        <w:t>》，经认定，乙方为普惠性托育服务机构，按甲乙双方约定价格提供普惠性托育服务。为明确双方权利和义务，特签署服务协议如下：</w:t>
      </w:r>
    </w:p>
    <w:p w:rsidR="0007520F" w:rsidRDefault="0007520F">
      <w:pPr>
        <w:spacing w:line="6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一、托育服务机构基本情况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机构运营名称：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机构注册名称：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注册登记日期：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机构运营日期：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机构备案日期：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，联系方式：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机构负责人：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，联系方式：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机构编班类型：托大班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个，托小班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</w:p>
    <w:p w:rsidR="0007520F" w:rsidRDefault="0007520F">
      <w:pPr>
        <w:spacing w:line="630" w:lineRule="exact"/>
        <w:ind w:firstLineChars="900" w:firstLine="28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乳儿班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个，混合班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个；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机构建筑面积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平方米，室外活动场地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平方米，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  <w:sectPr w:rsidR="000752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74" w:bottom="1701" w:left="1587" w:header="720" w:footer="1417" w:gutter="0"/>
          <w:cols w:space="720"/>
          <w:docGrid w:type="lines" w:linePitch="312"/>
        </w:sectPr>
      </w:pP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机构核定总托位数为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个托位，</w:t>
      </w:r>
    </w:p>
    <w:p w:rsidR="0007520F" w:rsidRDefault="0007520F">
      <w:pPr>
        <w:spacing w:line="63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核定普惠性托位为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个托位。</w:t>
      </w:r>
    </w:p>
    <w:p w:rsidR="0007520F" w:rsidRDefault="0007520F">
      <w:pPr>
        <w:spacing w:line="6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二、甲方权利与义务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（一）对符合条件申请加入普惠性托育服务的机构，依据</w:t>
      </w:r>
      <w:r>
        <w:rPr>
          <w:rFonts w:ascii="CESI仿宋-GB2312" w:eastAsia="CESI仿宋-GB2312" w:hAnsi="CESI仿宋-GB2312" w:cs="CESI仿宋-GB2312" w:hint="eastAsia"/>
          <w:color w:val="222222"/>
          <w:kern w:val="0"/>
          <w:sz w:val="32"/>
          <w:szCs w:val="32"/>
          <w:shd w:val="clear" w:color="auto" w:fill="FFFFFF"/>
          <w:lang/>
        </w:rPr>
        <w:t>《</w:t>
      </w:r>
      <w:r>
        <w:rPr>
          <w:rFonts w:ascii="CESI仿宋-GB2312" w:eastAsia="CESI仿宋-GB2312" w:hAnsi="CESI仿宋-GB2312" w:cs="CESI仿宋-GB2312" w:hint="eastAsia"/>
          <w:bCs/>
          <w:color w:val="000000"/>
          <w:kern w:val="0"/>
          <w:sz w:val="32"/>
          <w:szCs w:val="32"/>
        </w:rPr>
        <w:t>运城市试点托育机构评估细则（试行）》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开展评估。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（二）指导并组织实施普惠性托育服务机构认定和管理。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（三）对乙方办托情况进行日常管理和综合评估。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（四）如发现乙方存在违反</w:t>
      </w:r>
      <w:r>
        <w:rPr>
          <w:rFonts w:ascii="仿宋" w:eastAsia="仿宋" w:hAnsi="仿宋" w:cs="仿宋" w:hint="eastAsia"/>
          <w:bCs/>
          <w:sz w:val="32"/>
          <w:szCs w:val="32"/>
        </w:rPr>
        <w:t>《</w:t>
      </w:r>
      <w:r>
        <w:rPr>
          <w:rStyle w:val="Strong"/>
          <w:rFonts w:ascii="仿宋" w:eastAsia="仿宋" w:hAnsi="仿宋" w:cs="仿宋" w:hint="eastAsia"/>
          <w:b w:val="0"/>
          <w:bCs/>
          <w:color w:val="222222"/>
          <w:kern w:val="0"/>
          <w:sz w:val="32"/>
          <w:szCs w:val="32"/>
          <w:shd w:val="clear" w:color="auto" w:fill="FFFFFF"/>
          <w:lang/>
        </w:rPr>
        <w:t>盐湖区</w:t>
      </w:r>
      <w:r>
        <w:rPr>
          <w:rFonts w:ascii="仿宋" w:eastAsia="仿宋" w:hAnsi="仿宋" w:cs="仿宋" w:hint="eastAsia"/>
          <w:bCs/>
          <w:color w:val="222222"/>
          <w:sz w:val="32"/>
          <w:szCs w:val="32"/>
          <w:shd w:val="clear" w:color="auto" w:fill="FFFFFF"/>
        </w:rPr>
        <w:t>普惠托育机构认定</w:t>
      </w:r>
      <w:r>
        <w:rPr>
          <w:rStyle w:val="Strong"/>
          <w:rFonts w:ascii="仿宋" w:eastAsia="仿宋" w:hAnsi="仿宋" w:cs="仿宋" w:hint="eastAsia"/>
          <w:b w:val="0"/>
          <w:bCs/>
          <w:color w:val="222222"/>
          <w:kern w:val="0"/>
          <w:sz w:val="32"/>
          <w:szCs w:val="32"/>
          <w:shd w:val="clear" w:color="auto" w:fill="FFFFFF"/>
          <w:lang/>
        </w:rPr>
        <w:t>实施办法</w:t>
      </w:r>
      <w:r>
        <w:rPr>
          <w:rFonts w:ascii="仿宋" w:eastAsia="仿宋" w:hAnsi="仿宋" w:cs="仿宋" w:hint="eastAsia"/>
          <w:bCs/>
          <w:color w:val="222222"/>
          <w:sz w:val="32"/>
          <w:szCs w:val="32"/>
          <w:shd w:val="clear" w:color="auto" w:fill="FFFFFF"/>
        </w:rPr>
        <w:t>（试行）</w:t>
      </w:r>
      <w:r>
        <w:rPr>
          <w:rFonts w:ascii="仿宋" w:eastAsia="仿宋" w:hAnsi="仿宋" w:cs="仿宋" w:hint="eastAsia"/>
          <w:bCs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现象，甲方有权取消乙方普惠性托育服务机构资格。视情节严重程度，依法依规进行处罚或移交司法部门追究法律责任。</w:t>
      </w:r>
    </w:p>
    <w:p w:rsidR="0007520F" w:rsidRDefault="0007520F">
      <w:pPr>
        <w:spacing w:line="6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三、乙方权利与义务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（一）按照本协议约定，向辖区内婴幼儿提供普惠性托育服务，保育费（不含餐费）收费标准为：托大班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月，托小班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月，乳儿班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月，混合班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月。半日托（不少于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小时），不超过全日托收费标准的</w:t>
      </w:r>
      <w:r>
        <w:rPr>
          <w:rFonts w:ascii="仿宋_GB2312" w:eastAsia="仿宋_GB2312" w:hAnsi="仿宋_GB2312" w:cs="仿宋_GB2312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。乙方可下调收费标准，如需上调收费标准，需报甲方重新认定。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07520F">
          <w:footerReference w:type="default" r:id="rId12"/>
          <w:pgSz w:w="11906" w:h="16838"/>
          <w:pgMar w:top="1701" w:right="1474" w:bottom="1701" w:left="1587" w:header="720" w:footer="1417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严格执行托育服务管理的相关政策规范，建立安全制度，确保人身、食品、消防安全。按照安全健康、科学规范、儿童优先的原则，建立本机构日常管理制度和服务规范，加强从业人员管理和职业道德教育，提高从业人员服务能力，保障服务质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量，确保婴幼儿的健康成长。按照国家、省、市相关规定配备托育园设施设备，不断改善办园条件，提高办园水平。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（三）严格按照国家、省、市有关政策规定，做好托育服务机构的财务和资产管理工作，自觉接受并积极配合卫生健康、审计等部门对托育服务机构的财务、资产情况的审计和监督检查。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（四）在显著位置公示法人登记证明、托育机构备案回执、收费标准、退费规则和监督电话。与家长签署书面收托合同，明确双方权利责任，开具发票收据。保育费按月收取，最长不超过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个月，不得以虚构原价、一次性付款优惠价等诱导家长缴费。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（五）委托期间，托育服务机构不得转让、出租、转包、分包。</w:t>
      </w:r>
    </w:p>
    <w:p w:rsidR="0007520F" w:rsidRDefault="0007520F">
      <w:pPr>
        <w:spacing w:line="6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四、协议的变更和解除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（一）甲乙双方协商一致，可以书面变更本协议。变更协议所签署的文件具有同等法律效力，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（二）出现下列情形之一的，甲方可以解除协议：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乙方未能按照协议约定进行收费的；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乙方未按照监管部门要求限期改正违规行为的；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乙方违规组织婴幼儿参加商业性活动，造成恶劣社会影响的；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乙方出现安全、卫生责任事故，造成社会不良影响的；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乙方未能依法保障教职工合法权益的；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07520F">
          <w:footerReference w:type="default" r:id="rId13"/>
          <w:pgSz w:w="11906" w:h="16838"/>
          <w:pgMar w:top="1701" w:right="1474" w:bottom="1701" w:left="1587" w:header="720" w:footer="1417" w:gutter="0"/>
          <w:cols w:space="720"/>
          <w:docGrid w:type="lines" w:linePitch="312"/>
        </w:sectPr>
      </w:pP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其它不适宜继续履行协议的情形。</w:t>
      </w:r>
    </w:p>
    <w:p w:rsidR="0007520F" w:rsidRDefault="0007520F">
      <w:pPr>
        <w:spacing w:line="63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五、特别约定事项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需补充事项：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</w:t>
      </w:r>
    </w:p>
    <w:p w:rsidR="0007520F" w:rsidRDefault="0007520F">
      <w:pPr>
        <w:spacing w:line="63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      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本协议一式三份，甲乙双方各执一份，辖区乡（镇、办）计生办备案一份。</w:t>
      </w:r>
    </w:p>
    <w:p w:rsidR="0007520F" w:rsidRDefault="0007520F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本协议涂改无效。</w:t>
      </w:r>
    </w:p>
    <w:p w:rsidR="0007520F" w:rsidRDefault="0007520F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520F" w:rsidRDefault="0007520F">
      <w:pPr>
        <w:spacing w:line="65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甲方（盖章）：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乙方（盖章）：</w:t>
      </w:r>
    </w:p>
    <w:p w:rsidR="0007520F" w:rsidRDefault="0007520F">
      <w:pPr>
        <w:spacing w:line="65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7520F" w:rsidRDefault="0007520F">
      <w:pPr>
        <w:pStyle w:val="NormalIndent"/>
        <w:spacing w:line="65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代表人（签字）：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法定代表人（签字）：</w:t>
      </w:r>
    </w:p>
    <w:p w:rsidR="0007520F" w:rsidRDefault="0007520F">
      <w:pPr>
        <w:pStyle w:val="NormalIndent"/>
        <w:spacing w:line="65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07520F" w:rsidRDefault="0007520F">
      <w:pPr>
        <w:pStyle w:val="NormalIndent"/>
        <w:spacing w:line="65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07520F" w:rsidRDefault="0007520F">
      <w:pPr>
        <w:pStyle w:val="NormalIndent"/>
        <w:spacing w:line="65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07520F" w:rsidRDefault="0007520F">
      <w:pPr>
        <w:pStyle w:val="NormalIndent"/>
        <w:spacing w:line="65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07520F" w:rsidRDefault="0007520F">
      <w:pPr>
        <w:pStyle w:val="NormalIndent"/>
        <w:spacing w:line="65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07520F" w:rsidRDefault="0007520F">
      <w:pPr>
        <w:pStyle w:val="NormalIndent"/>
        <w:spacing w:line="65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签订日期：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签订日期：</w:t>
      </w:r>
    </w:p>
    <w:p w:rsidR="0007520F" w:rsidRDefault="0007520F">
      <w:pPr>
        <w:spacing w:line="650" w:lineRule="exact"/>
      </w:pPr>
    </w:p>
    <w:p w:rsidR="0007520F" w:rsidRDefault="0007520F">
      <w:pPr>
        <w:spacing w:line="600" w:lineRule="exact"/>
      </w:pPr>
    </w:p>
    <w:p w:rsidR="0007520F" w:rsidRDefault="0007520F"/>
    <w:sectPr w:rsidR="0007520F" w:rsidSect="0019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0F" w:rsidRDefault="0007520F" w:rsidP="001931A6">
      <w:r>
        <w:separator/>
      </w:r>
    </w:p>
  </w:endnote>
  <w:endnote w:type="continuationSeparator" w:id="0">
    <w:p w:rsidR="0007520F" w:rsidRDefault="0007520F" w:rsidP="0019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0F" w:rsidRDefault="000752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0F" w:rsidRDefault="0007520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07520F" w:rsidRDefault="0007520F">
                <w:pPr>
                  <w:pStyle w:val="Footer"/>
                </w:pPr>
                <w:r>
                  <w:t xml:space="preserve">— </w:t>
                </w: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0F" w:rsidRDefault="0007520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0F" w:rsidRDefault="0007520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2336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07520F" w:rsidRDefault="0007520F">
                <w:pPr>
                  <w:pStyle w:val="Footer"/>
                </w:pPr>
                <w:r>
                  <w:t xml:space="preserve">— </w:t>
                </w: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0F" w:rsidRDefault="0007520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6438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07520F" w:rsidRDefault="0007520F">
                <w:pPr>
                  <w:pStyle w:val="Footer"/>
                </w:pPr>
                <w:r>
                  <w:t xml:space="preserve">— </w:t>
                </w:r>
                <w:fldSimple w:instr=" PAGE  \* MERGEFORMAT ">
                  <w:r>
                    <w:rPr>
                      <w:noProof/>
                    </w:rPr>
                    <w:t>4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0F" w:rsidRDefault="0007520F" w:rsidP="001931A6">
      <w:r>
        <w:separator/>
      </w:r>
    </w:p>
  </w:footnote>
  <w:footnote w:type="continuationSeparator" w:id="0">
    <w:p w:rsidR="0007520F" w:rsidRDefault="0007520F" w:rsidP="00193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0F" w:rsidRDefault="0007520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0F" w:rsidRDefault="0007520F" w:rsidP="00730B0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0F" w:rsidRDefault="0007520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ZkZjZiNzAzNjlkM2Q0MTliMTYwYjUyNzg3OTJlZjcifQ=="/>
  </w:docVars>
  <w:rsids>
    <w:rsidRoot w:val="17747757"/>
    <w:rsid w:val="0007520F"/>
    <w:rsid w:val="001549B8"/>
    <w:rsid w:val="001931A6"/>
    <w:rsid w:val="001F4DB6"/>
    <w:rsid w:val="00730B01"/>
    <w:rsid w:val="007F2FA9"/>
    <w:rsid w:val="17747757"/>
    <w:rsid w:val="691C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er"/>
    <w:qFormat/>
    <w:rsid w:val="001931A6"/>
    <w:pPr>
      <w:widowControl w:val="0"/>
      <w:suppressAutoHyphens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931A6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6BD"/>
    <w:rPr>
      <w:b/>
      <w:bCs/>
      <w:kern w:val="44"/>
      <w:sz w:val="44"/>
      <w:szCs w:val="44"/>
    </w:rPr>
  </w:style>
  <w:style w:type="paragraph" w:styleId="Header">
    <w:name w:val="header"/>
    <w:basedOn w:val="Normal"/>
    <w:next w:val="BodyText"/>
    <w:link w:val="HeaderChar"/>
    <w:autoRedefine/>
    <w:uiPriority w:val="99"/>
    <w:rsid w:val="001931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6BD"/>
    <w:rPr>
      <w:sz w:val="18"/>
      <w:szCs w:val="18"/>
    </w:rPr>
  </w:style>
  <w:style w:type="paragraph" w:styleId="BodyText">
    <w:name w:val="Body Text"/>
    <w:basedOn w:val="Normal"/>
    <w:link w:val="BodyTextChar"/>
    <w:autoRedefine/>
    <w:uiPriority w:val="99"/>
    <w:rsid w:val="001931A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66BD"/>
    <w:rPr>
      <w:szCs w:val="24"/>
    </w:rPr>
  </w:style>
  <w:style w:type="paragraph" w:styleId="NormalIndent">
    <w:name w:val="Normal Indent"/>
    <w:basedOn w:val="Normal"/>
    <w:autoRedefine/>
    <w:uiPriority w:val="99"/>
    <w:rsid w:val="001931A6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1931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66BD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1931A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264</Words>
  <Characters>1506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2024-04-12T08:42:00Z</dcterms:created>
  <dcterms:modified xsi:type="dcterms:W3CDTF">2024-04-15T02:14:00Z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54D186C5AA514B08954F7B032940279F_11</vt:lpwstr>
  </property>
</Properties>
</file>