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2024003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2024003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4.03.25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884"/>
        <w:gridCol w:w="1026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1911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樊村水厂（出厂水）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（管网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3.03.06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21"/>
                <w:szCs w:val="21"/>
                <w:lang w:val="en-US" w:eastAsia="zh-CN"/>
              </w:rPr>
              <w:t>射性指标2项（樊村水厂）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 GB 5749-20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GB/T5750.4-20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GB/T5750.5-20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GB/T5750.6-20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GB/T5750.7-20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23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GB/T5750.12-20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，检测结果全部合格。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8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3519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027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3134" w:type="dxa"/>
            <w:gridSpan w:val="2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03月25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8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邵冬俊、张荷丽、刘英、文智博、李然、李婧怡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8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 xml:space="preserve">1。   </w:t>
            </w:r>
          </w:p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  <w:lang w:val="en-US" w:eastAsia="zh-CN"/>
              </w:rPr>
              <w:t>2、樊村水厂总α放射性和总β放射性两项委托山西誉达环境监测有限公司进行检测，检测数据引用自誉达环检字2024第（035）号报告。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张荷丽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4.03.25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樊村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水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臭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293.3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122.66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98"/>
        <w:gridCol w:w="1314"/>
        <w:gridCol w:w="1222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樊村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水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总α放射性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总β放射性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0.28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211" w:leftChars="0" w:hanging="211" w:hangingChars="100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臭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无异臭、异味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6.5~8.5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≤3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211" w:leftChars="0" w:hanging="211" w:hangingChars="100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≤450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≤0.5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76.62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5.68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156.74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211" w:leftChars="0" w:hanging="211" w:hangingChars="10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二氧化氯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，管网水≥0.0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spacing w:beforeAutospacing="0" w:afterAutospacing="0"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BC84"/>
    <w:multiLevelType w:val="singleLevel"/>
    <w:tmpl w:val="671ABC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A90D4D"/>
    <w:rsid w:val="0BEE2DE2"/>
    <w:rsid w:val="0CE761D2"/>
    <w:rsid w:val="0CF17DF1"/>
    <w:rsid w:val="0D45787F"/>
    <w:rsid w:val="0D4D12E7"/>
    <w:rsid w:val="0DEE12BA"/>
    <w:rsid w:val="0DFF04AF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123C6C"/>
    <w:rsid w:val="1C4235D1"/>
    <w:rsid w:val="1C66315C"/>
    <w:rsid w:val="202F547B"/>
    <w:rsid w:val="22654E79"/>
    <w:rsid w:val="23C40470"/>
    <w:rsid w:val="23DD05AA"/>
    <w:rsid w:val="25415314"/>
    <w:rsid w:val="255F3247"/>
    <w:rsid w:val="25C9374C"/>
    <w:rsid w:val="265340D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E5149C2"/>
    <w:rsid w:val="2F2B6E37"/>
    <w:rsid w:val="2F535442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3F37443"/>
    <w:rsid w:val="34F12D0D"/>
    <w:rsid w:val="35EE100F"/>
    <w:rsid w:val="36270A9E"/>
    <w:rsid w:val="362D27CC"/>
    <w:rsid w:val="367B15FA"/>
    <w:rsid w:val="372D3662"/>
    <w:rsid w:val="37453C4F"/>
    <w:rsid w:val="37C044C7"/>
    <w:rsid w:val="37D36461"/>
    <w:rsid w:val="37D66EAA"/>
    <w:rsid w:val="388517FB"/>
    <w:rsid w:val="390C3432"/>
    <w:rsid w:val="39147B05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09C61FF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CEA3304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AFD2FF6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A15B18"/>
    <w:rsid w:val="63CB74C8"/>
    <w:rsid w:val="63F6005D"/>
    <w:rsid w:val="65343D91"/>
    <w:rsid w:val="66101C8D"/>
    <w:rsid w:val="670A133D"/>
    <w:rsid w:val="673B28CE"/>
    <w:rsid w:val="6793706B"/>
    <w:rsid w:val="67EF28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382179C"/>
    <w:rsid w:val="73FF1DB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1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2024-03-26T02:52:25Z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