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jc w:val="left"/>
        <w:rPr>
          <w:rFonts w:hint="eastAsia" w:ascii="仿宋" w:hAnsi="仿宋" w:eastAsia="仿宋" w:cs="仿宋"/>
          <w:b w:val="0"/>
          <w:bCs w:val="0"/>
          <w:spacing w:val="-27"/>
          <w:sz w:val="32"/>
          <w:szCs w:val="32"/>
          <w:lang w:eastAsia="zh-CN"/>
        </w:rPr>
      </w:pPr>
      <w:r>
        <w:rPr>
          <w:rFonts w:hint="eastAsia" w:ascii="仿宋" w:hAnsi="仿宋" w:eastAsia="仿宋" w:cs="仿宋"/>
          <w:b w:val="0"/>
          <w:bCs w:val="0"/>
          <w:spacing w:val="-27"/>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rPr>
          <w:rFonts w:hint="eastAsia" w:ascii="方正小标宋_GBK" w:hAnsi="方正小标宋_GBK" w:eastAsia="方正小标宋_GBK" w:cs="方正小标宋_GBK"/>
          <w:b w:val="0"/>
          <w:bCs w:val="0"/>
          <w:spacing w:val="-27"/>
          <w:sz w:val="44"/>
          <w:szCs w:val="44"/>
        </w:rPr>
      </w:pPr>
      <w:r>
        <w:rPr>
          <w:rFonts w:hint="eastAsia" w:ascii="方正小标宋_GBK" w:hAnsi="方正小标宋_GBK" w:eastAsia="方正小标宋_GBK" w:cs="方正小标宋_GBK"/>
          <w:b w:val="0"/>
          <w:bCs w:val="0"/>
          <w:spacing w:val="-27"/>
          <w:sz w:val="44"/>
          <w:szCs w:val="44"/>
          <w:lang w:eastAsia="zh-CN"/>
        </w:rPr>
        <w:t>盐湖区</w:t>
      </w:r>
      <w:r>
        <w:rPr>
          <w:rFonts w:hint="eastAsia" w:ascii="方正小标宋_GBK" w:hAnsi="方正小标宋_GBK" w:eastAsia="方正小标宋_GBK" w:cs="方正小标宋_GBK"/>
          <w:b w:val="0"/>
          <w:bCs w:val="0"/>
          <w:spacing w:val="-27"/>
          <w:sz w:val="44"/>
          <w:szCs w:val="44"/>
        </w:rPr>
        <w:t>支持二手车流通规模化发展</w:t>
      </w: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rPr>
          <w:rFonts w:ascii="仿宋" w:hAnsi="仿宋" w:eastAsia="仿宋" w:cs="仿宋"/>
          <w:spacing w:val="12"/>
          <w:sz w:val="32"/>
          <w:szCs w:val="32"/>
        </w:rPr>
      </w:pPr>
      <w:r>
        <w:rPr>
          <w:rFonts w:hint="eastAsia" w:ascii="方正小标宋_GBK" w:hAnsi="方正小标宋_GBK" w:eastAsia="方正小标宋_GBK" w:cs="方正小标宋_GBK"/>
          <w:b w:val="0"/>
          <w:bCs w:val="0"/>
          <w:spacing w:val="-27"/>
          <w:sz w:val="44"/>
          <w:szCs w:val="44"/>
        </w:rPr>
        <w:t>实施办法(</w:t>
      </w:r>
      <w:r>
        <w:rPr>
          <w:rFonts w:hint="eastAsia" w:ascii="方正小标宋_GBK" w:hAnsi="方正小标宋_GBK" w:eastAsia="方正小标宋_GBK" w:cs="方正小标宋_GBK"/>
          <w:b w:val="0"/>
          <w:bCs w:val="0"/>
          <w:spacing w:val="-27"/>
          <w:sz w:val="44"/>
          <w:szCs w:val="44"/>
          <w:lang w:eastAsia="zh-CN"/>
        </w:rPr>
        <w:t>征求意见稿</w:t>
      </w:r>
      <w:r>
        <w:rPr>
          <w:rFonts w:hint="eastAsia" w:ascii="方正小标宋_GBK" w:hAnsi="方正小标宋_GBK" w:eastAsia="方正小标宋_GBK" w:cs="方正小标宋_GBK"/>
          <w:b w:val="0"/>
          <w:bCs w:val="0"/>
          <w:spacing w:val="-27"/>
          <w:sz w:val="44"/>
          <w:szCs w:val="44"/>
        </w:rPr>
        <w:t>)</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为加快二手车流通，促进二手车行业有序健康发展，进一步满足人民群众消费需求，根据《二手车流通管理办法</w:t>
      </w:r>
      <w:r>
        <w:rPr>
          <w:rFonts w:hint="eastAsia" w:ascii="仿宋" w:hAnsi="仿宋" w:eastAsia="仿宋" w:cs="仿宋"/>
          <w:spacing w:val="0"/>
          <w:sz w:val="32"/>
          <w:szCs w:val="32"/>
          <w:lang w:eastAsia="zh-CN"/>
        </w:rPr>
        <w:t>》</w:t>
      </w:r>
      <w:r>
        <w:rPr>
          <w:rFonts w:ascii="仿宋" w:hAnsi="仿宋" w:eastAsia="仿宋" w:cs="仿宋"/>
          <w:spacing w:val="0"/>
          <w:sz w:val="32"/>
          <w:szCs w:val="32"/>
        </w:rPr>
        <w:t>(商务部公安部工商总局税务总局令〔2005〕第</w:t>
      </w:r>
      <w:bookmarkStart w:id="0" w:name="_GoBack"/>
      <w:bookmarkEnd w:id="0"/>
      <w:r>
        <w:rPr>
          <w:rFonts w:ascii="仿宋" w:hAnsi="仿宋" w:eastAsia="仿宋" w:cs="仿宋"/>
          <w:spacing w:val="0"/>
          <w:sz w:val="32"/>
          <w:szCs w:val="32"/>
        </w:rPr>
        <w:t>2号)</w:t>
      </w:r>
      <w:r>
        <w:rPr>
          <w:rFonts w:hint="eastAsia" w:ascii="仿宋" w:hAnsi="仿宋" w:eastAsia="仿宋" w:cs="仿宋"/>
          <w:spacing w:val="0"/>
          <w:sz w:val="32"/>
          <w:szCs w:val="32"/>
          <w:lang w:eastAsia="zh-CN"/>
        </w:rPr>
        <w:t>、</w:t>
      </w:r>
      <w:r>
        <w:rPr>
          <w:rFonts w:ascii="仿宋" w:hAnsi="仿宋" w:eastAsia="仿宋" w:cs="仿宋"/>
          <w:spacing w:val="0"/>
          <w:sz w:val="32"/>
          <w:szCs w:val="32"/>
        </w:rPr>
        <w:t>《二手车交易规范》(商务部公告2006年第22号)</w:t>
      </w:r>
      <w:r>
        <w:rPr>
          <w:rFonts w:hint="eastAsia" w:ascii="仿宋" w:hAnsi="仿宋" w:eastAsia="仿宋" w:cs="仿宋"/>
          <w:spacing w:val="0"/>
          <w:sz w:val="32"/>
          <w:szCs w:val="32"/>
          <w:lang w:eastAsia="zh-CN"/>
        </w:rPr>
        <w:t>、</w:t>
      </w:r>
      <w:r>
        <w:rPr>
          <w:rFonts w:ascii="仿宋" w:hAnsi="仿宋" w:eastAsia="仿宋" w:cs="仿宋"/>
          <w:spacing w:val="0"/>
          <w:sz w:val="32"/>
          <w:szCs w:val="32"/>
        </w:rPr>
        <w:t>商务部等17部门《关于搞活汽车流通扩大汽车消费若干措施的通知</w:t>
      </w:r>
      <w:r>
        <w:rPr>
          <w:rFonts w:hint="eastAsia" w:ascii="仿宋" w:hAnsi="仿宋" w:eastAsia="仿宋" w:cs="仿宋"/>
          <w:spacing w:val="0"/>
          <w:sz w:val="32"/>
          <w:szCs w:val="32"/>
          <w:lang w:eastAsia="zh-CN"/>
        </w:rPr>
        <w:t>》</w:t>
      </w:r>
      <w:r>
        <w:rPr>
          <w:rFonts w:ascii="仿宋" w:hAnsi="仿宋" w:eastAsia="仿宋" w:cs="仿宋"/>
          <w:spacing w:val="0"/>
          <w:sz w:val="32"/>
          <w:szCs w:val="32"/>
        </w:rPr>
        <w:t>(商消费发〔2022〕92号)</w:t>
      </w:r>
      <w:r>
        <w:rPr>
          <w:rFonts w:hint="eastAsia" w:ascii="仿宋" w:hAnsi="仿宋" w:eastAsia="仿宋" w:cs="仿宋"/>
          <w:spacing w:val="0"/>
          <w:sz w:val="32"/>
          <w:szCs w:val="32"/>
          <w:lang w:eastAsia="zh-CN"/>
        </w:rPr>
        <w:t>、国家发展改革委等部门《关于促进汽车消费的若干措施的通知》（发改就业</w:t>
      </w:r>
      <w:r>
        <w:rPr>
          <w:rFonts w:ascii="仿宋" w:hAnsi="仿宋" w:eastAsia="仿宋" w:cs="仿宋"/>
          <w:spacing w:val="0"/>
          <w:sz w:val="32"/>
          <w:szCs w:val="32"/>
        </w:rPr>
        <w:t>〔20</w:t>
      </w:r>
      <w:r>
        <w:rPr>
          <w:rFonts w:hint="eastAsia" w:ascii="仿宋" w:hAnsi="仿宋" w:eastAsia="仿宋" w:cs="仿宋"/>
          <w:spacing w:val="0"/>
          <w:sz w:val="32"/>
          <w:szCs w:val="32"/>
          <w:lang w:val="en-US" w:eastAsia="zh-CN"/>
        </w:rPr>
        <w:t>23</w:t>
      </w:r>
      <w:r>
        <w:rPr>
          <w:rFonts w:ascii="仿宋" w:hAnsi="仿宋" w:eastAsia="仿宋" w:cs="仿宋"/>
          <w:spacing w:val="0"/>
          <w:sz w:val="32"/>
          <w:szCs w:val="32"/>
        </w:rPr>
        <w:t>〕</w:t>
      </w:r>
      <w:r>
        <w:rPr>
          <w:rFonts w:hint="eastAsia" w:ascii="仿宋" w:hAnsi="仿宋" w:eastAsia="仿宋" w:cs="仿宋"/>
          <w:spacing w:val="0"/>
          <w:sz w:val="32"/>
          <w:szCs w:val="32"/>
          <w:lang w:val="en-US" w:eastAsia="zh-CN"/>
        </w:rPr>
        <w:t>1017号）</w:t>
      </w:r>
      <w:r>
        <w:rPr>
          <w:rFonts w:hint="eastAsia" w:ascii="仿宋" w:hAnsi="仿宋" w:eastAsia="仿宋" w:cs="仿宋"/>
          <w:spacing w:val="0"/>
          <w:sz w:val="32"/>
          <w:szCs w:val="32"/>
          <w:lang w:eastAsia="zh-CN"/>
        </w:rPr>
        <w:t>、山西省商务厅等</w:t>
      </w:r>
      <w:r>
        <w:rPr>
          <w:rFonts w:hint="eastAsia" w:ascii="仿宋" w:hAnsi="仿宋" w:eastAsia="仿宋" w:cs="仿宋"/>
          <w:spacing w:val="0"/>
          <w:sz w:val="32"/>
          <w:szCs w:val="32"/>
          <w:lang w:val="en-US" w:eastAsia="zh-CN"/>
        </w:rPr>
        <w:t>17部门《关于进一步搞活汽车流通扩大汽车消费的通知》（晋商消费</w:t>
      </w:r>
      <w:r>
        <w:rPr>
          <w:rFonts w:ascii="仿宋" w:hAnsi="仿宋" w:eastAsia="仿宋" w:cs="仿宋"/>
          <w:spacing w:val="0"/>
          <w:sz w:val="32"/>
          <w:szCs w:val="32"/>
        </w:rPr>
        <w:t>〔20</w:t>
      </w:r>
      <w:r>
        <w:rPr>
          <w:rFonts w:hint="eastAsia" w:ascii="仿宋" w:hAnsi="仿宋" w:eastAsia="仿宋" w:cs="仿宋"/>
          <w:spacing w:val="0"/>
          <w:sz w:val="32"/>
          <w:szCs w:val="32"/>
          <w:lang w:val="en-US" w:eastAsia="zh-CN"/>
        </w:rPr>
        <w:t>23</w:t>
      </w:r>
      <w:r>
        <w:rPr>
          <w:rFonts w:ascii="仿宋" w:hAnsi="仿宋" w:eastAsia="仿宋" w:cs="仿宋"/>
          <w:spacing w:val="0"/>
          <w:sz w:val="32"/>
          <w:szCs w:val="32"/>
        </w:rPr>
        <w:t>〕</w:t>
      </w:r>
      <w:r>
        <w:rPr>
          <w:rFonts w:hint="eastAsia" w:ascii="仿宋" w:hAnsi="仿宋" w:eastAsia="仿宋" w:cs="仿宋"/>
          <w:spacing w:val="0"/>
          <w:sz w:val="32"/>
          <w:szCs w:val="32"/>
          <w:lang w:val="en-US" w:eastAsia="zh-CN"/>
        </w:rPr>
        <w:t>12号）和山西省人民政府办公厅《关于印发山西省恢复和扩大消费若干政策措施的通知》（晋政办发</w:t>
      </w:r>
      <w:r>
        <w:rPr>
          <w:rFonts w:ascii="仿宋" w:hAnsi="仿宋" w:eastAsia="仿宋" w:cs="仿宋"/>
          <w:spacing w:val="0"/>
          <w:sz w:val="32"/>
          <w:szCs w:val="32"/>
        </w:rPr>
        <w:t>〔20</w:t>
      </w:r>
      <w:r>
        <w:rPr>
          <w:rFonts w:hint="eastAsia" w:ascii="仿宋" w:hAnsi="仿宋" w:eastAsia="仿宋" w:cs="仿宋"/>
          <w:spacing w:val="0"/>
          <w:sz w:val="32"/>
          <w:szCs w:val="32"/>
          <w:lang w:val="en-US" w:eastAsia="zh-CN"/>
        </w:rPr>
        <w:t>23</w:t>
      </w:r>
      <w:r>
        <w:rPr>
          <w:rFonts w:ascii="仿宋" w:hAnsi="仿宋" w:eastAsia="仿宋" w:cs="仿宋"/>
          <w:spacing w:val="0"/>
          <w:sz w:val="32"/>
          <w:szCs w:val="32"/>
        </w:rPr>
        <w:t>〕</w:t>
      </w:r>
      <w:r>
        <w:rPr>
          <w:rFonts w:hint="eastAsia" w:ascii="仿宋" w:hAnsi="仿宋" w:eastAsia="仿宋" w:cs="仿宋"/>
          <w:spacing w:val="0"/>
          <w:sz w:val="32"/>
          <w:szCs w:val="32"/>
          <w:lang w:val="en-US" w:eastAsia="zh-CN"/>
        </w:rPr>
        <w:t>65号）</w:t>
      </w:r>
      <w:r>
        <w:rPr>
          <w:rFonts w:ascii="仿宋" w:hAnsi="仿宋" w:eastAsia="仿宋" w:cs="仿宋"/>
          <w:spacing w:val="0"/>
          <w:sz w:val="32"/>
          <w:szCs w:val="32"/>
        </w:rPr>
        <w:t>等文件精神</w:t>
      </w:r>
      <w:r>
        <w:rPr>
          <w:rFonts w:hint="eastAsia" w:ascii="仿宋" w:hAnsi="仿宋" w:eastAsia="仿宋" w:cs="仿宋"/>
          <w:spacing w:val="0"/>
          <w:sz w:val="32"/>
          <w:szCs w:val="32"/>
          <w:lang w:eastAsia="zh-CN"/>
        </w:rPr>
        <w:t>，</w:t>
      </w:r>
      <w:r>
        <w:rPr>
          <w:rFonts w:ascii="仿宋" w:hAnsi="仿宋" w:eastAsia="仿宋" w:cs="仿宋"/>
          <w:spacing w:val="0"/>
          <w:sz w:val="32"/>
          <w:szCs w:val="32"/>
        </w:rPr>
        <w:t>结合我区实际，现就支持二手车流通规模化发展制定如下实施办法。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36" w:firstLineChars="200"/>
        <w:outlineLvl w:val="0"/>
        <w:rPr>
          <w:rFonts w:ascii="黑体" w:hAnsi="黑体" w:eastAsia="黑体" w:cs="黑体"/>
          <w:b w:val="0"/>
          <w:bCs w:val="0"/>
          <w:sz w:val="32"/>
          <w:szCs w:val="32"/>
        </w:rPr>
      </w:pPr>
      <w:r>
        <w:rPr>
          <w:rFonts w:ascii="黑体" w:hAnsi="黑体" w:eastAsia="黑体" w:cs="黑体"/>
          <w:b w:val="0"/>
          <w:bCs w:val="0"/>
          <w:spacing w:val="-1"/>
          <w:sz w:val="32"/>
          <w:szCs w:val="32"/>
        </w:rPr>
        <w:t>一、支持范围</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在</w:t>
      </w:r>
      <w:r>
        <w:rPr>
          <w:rFonts w:hint="eastAsia" w:ascii="仿宋" w:hAnsi="仿宋" w:eastAsia="仿宋" w:cs="仿宋"/>
          <w:spacing w:val="0"/>
          <w:sz w:val="32"/>
          <w:szCs w:val="32"/>
          <w:lang w:eastAsia="zh-CN"/>
        </w:rPr>
        <w:t>盐湖</w:t>
      </w:r>
      <w:r>
        <w:rPr>
          <w:rFonts w:ascii="仿宋" w:hAnsi="仿宋" w:eastAsia="仿宋" w:cs="仿宋"/>
          <w:spacing w:val="0"/>
          <w:sz w:val="32"/>
          <w:szCs w:val="32"/>
        </w:rPr>
        <w:t>区辖区范围内独立核算、合法经营、照章纳税、财务管理规范，并按时向税务、统计及相关部门报送相应报表、资料信息的二手车经营单位。</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hint="eastAsia" w:ascii="仿宋" w:hAnsi="仿宋" w:eastAsia="仿宋" w:cs="仿宋"/>
          <w:spacing w:val="0"/>
          <w:sz w:val="32"/>
          <w:szCs w:val="32"/>
          <w:lang w:eastAsia="zh-CN"/>
        </w:rPr>
        <w:t>盐湖</w:t>
      </w:r>
      <w:r>
        <w:rPr>
          <w:rFonts w:ascii="仿宋" w:hAnsi="仿宋" w:eastAsia="仿宋" w:cs="仿宋"/>
          <w:spacing w:val="0"/>
          <w:sz w:val="32"/>
          <w:szCs w:val="32"/>
        </w:rPr>
        <w:t>区辖区范围内的二手车经营单位，同一经营地址如变更名称或更换法定代表人的，视为同一家经营单位。</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36" w:firstLineChars="200"/>
        <w:outlineLvl w:val="0"/>
        <w:rPr>
          <w:rFonts w:ascii="黑体" w:hAnsi="黑体" w:eastAsia="黑体" w:cs="黑体"/>
          <w:b w:val="0"/>
          <w:bCs w:val="0"/>
          <w:spacing w:val="-1"/>
          <w:sz w:val="32"/>
          <w:szCs w:val="32"/>
        </w:rPr>
      </w:pPr>
      <w:r>
        <w:rPr>
          <w:rFonts w:ascii="黑体" w:hAnsi="黑体" w:eastAsia="黑体" w:cs="黑体"/>
          <w:b w:val="0"/>
          <w:bCs w:val="0"/>
          <w:spacing w:val="-1"/>
          <w:sz w:val="32"/>
          <w:szCs w:val="32"/>
        </w:rPr>
        <w:t>二、支持内容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744" w:firstLineChars="200"/>
        <w:rPr>
          <w:rFonts w:hint="eastAsia" w:ascii="楷体" w:hAnsi="楷体" w:eastAsia="楷体" w:cs="楷体"/>
          <w:b w:val="0"/>
          <w:bCs w:val="0"/>
          <w:spacing w:val="26"/>
          <w:sz w:val="32"/>
          <w:szCs w:val="32"/>
        </w:rPr>
      </w:pPr>
      <w:r>
        <w:rPr>
          <w:rFonts w:hint="eastAsia" w:ascii="楷体" w:hAnsi="楷体" w:eastAsia="楷体" w:cs="楷体"/>
          <w:b w:val="0"/>
          <w:bCs w:val="0"/>
          <w:spacing w:val="26"/>
          <w:sz w:val="32"/>
          <w:szCs w:val="32"/>
        </w:rPr>
        <w:t>(一)新增入库奖励</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区商务局</w:t>
      </w:r>
      <w:r>
        <w:rPr>
          <w:rFonts w:hint="eastAsia" w:ascii="仿宋" w:hAnsi="仿宋" w:eastAsia="仿宋" w:cs="仿宋"/>
          <w:spacing w:val="0"/>
          <w:sz w:val="32"/>
          <w:szCs w:val="32"/>
          <w:lang w:eastAsia="zh-CN"/>
        </w:rPr>
        <w:t>、区统计局</w:t>
      </w:r>
      <w:r>
        <w:rPr>
          <w:rFonts w:ascii="仿宋" w:hAnsi="仿宋" w:eastAsia="仿宋" w:cs="仿宋"/>
          <w:spacing w:val="0"/>
          <w:sz w:val="32"/>
          <w:szCs w:val="32"/>
        </w:rPr>
        <w:t>要加强对二手车行业(市场)的统计监测分析，及时开展入库摸底调查，按照应统尽统原则，对首次纳入统计部门“一套表”平台统计的二手车经营单位，一次性给予</w:t>
      </w:r>
      <w:r>
        <w:rPr>
          <w:rFonts w:hint="eastAsia" w:ascii="仿宋" w:hAnsi="仿宋" w:eastAsia="仿宋" w:cs="仿宋"/>
          <w:spacing w:val="0"/>
          <w:sz w:val="32"/>
          <w:szCs w:val="32"/>
          <w:lang w:val="en-US" w:eastAsia="zh-CN"/>
        </w:rPr>
        <w:t>5-10</w:t>
      </w:r>
      <w:r>
        <w:rPr>
          <w:rFonts w:ascii="仿宋" w:hAnsi="仿宋" w:eastAsia="仿宋" w:cs="仿宋"/>
          <w:spacing w:val="0"/>
          <w:sz w:val="32"/>
          <w:szCs w:val="32"/>
        </w:rPr>
        <w:t>万元奖励。</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744" w:firstLineChars="200"/>
        <w:rPr>
          <w:rFonts w:hint="eastAsia" w:ascii="楷体" w:hAnsi="楷体" w:eastAsia="楷体" w:cs="楷体"/>
          <w:b w:val="0"/>
          <w:bCs w:val="0"/>
          <w:spacing w:val="26"/>
          <w:sz w:val="32"/>
          <w:szCs w:val="32"/>
        </w:rPr>
      </w:pPr>
      <w:r>
        <w:rPr>
          <w:rFonts w:hint="eastAsia" w:ascii="楷体" w:hAnsi="楷体" w:eastAsia="楷体" w:cs="楷体"/>
          <w:b w:val="0"/>
          <w:bCs w:val="0"/>
          <w:spacing w:val="26"/>
          <w:sz w:val="32"/>
          <w:szCs w:val="32"/>
        </w:rPr>
        <w:t>(二)在库经营奖励</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对</w:t>
      </w:r>
      <w:r>
        <w:rPr>
          <w:rFonts w:hint="eastAsia" w:ascii="仿宋" w:hAnsi="仿宋" w:eastAsia="仿宋" w:cs="仿宋"/>
          <w:spacing w:val="0"/>
          <w:sz w:val="32"/>
          <w:szCs w:val="32"/>
          <w:lang w:eastAsia="zh-CN"/>
        </w:rPr>
        <w:t>在库</w:t>
      </w:r>
      <w:r>
        <w:rPr>
          <w:rFonts w:ascii="仿宋" w:hAnsi="仿宋" w:eastAsia="仿宋" w:cs="仿宋"/>
          <w:spacing w:val="0"/>
          <w:sz w:val="32"/>
          <w:szCs w:val="32"/>
        </w:rPr>
        <w:t>的二手车经营单位年销售额达到相应标准的给予扩大经营奖励，奖励金额=销售额×奖励比率。销售额自二手车经营单位首次缴纳相关税费之日起计算，奖励比率超额累进，奖励金额分段累计。具体如下：</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年销售收入500万元至1000万元(含)的部分，奖励比率为0.</w:t>
      </w:r>
      <w:r>
        <w:rPr>
          <w:rFonts w:hint="eastAsia" w:ascii="仿宋" w:hAnsi="仿宋" w:eastAsia="仿宋" w:cs="仿宋"/>
          <w:spacing w:val="0"/>
          <w:sz w:val="32"/>
          <w:szCs w:val="32"/>
          <w:lang w:val="en-US" w:eastAsia="zh-CN"/>
        </w:rPr>
        <w:t>7</w:t>
      </w:r>
      <w:r>
        <w:rPr>
          <w:rFonts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年销售收入1000万元至5000万元(含)的部分，奖励比率为0.</w:t>
      </w:r>
      <w:r>
        <w:rPr>
          <w:rFonts w:hint="eastAsia" w:ascii="仿宋" w:hAnsi="仿宋" w:eastAsia="仿宋" w:cs="仿宋"/>
          <w:spacing w:val="0"/>
          <w:sz w:val="32"/>
          <w:szCs w:val="32"/>
          <w:lang w:val="en-US" w:eastAsia="zh-CN"/>
        </w:rPr>
        <w:t>8</w:t>
      </w:r>
      <w:r>
        <w:rPr>
          <w:rFonts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年销售收入5000万元到1亿元(含)的部分，奖励比率为0.</w:t>
      </w:r>
      <w:r>
        <w:rPr>
          <w:rFonts w:hint="eastAsia" w:ascii="仿宋" w:hAnsi="仿宋" w:eastAsia="仿宋" w:cs="仿宋"/>
          <w:spacing w:val="0"/>
          <w:sz w:val="32"/>
          <w:szCs w:val="32"/>
          <w:lang w:val="en-US" w:eastAsia="zh-CN"/>
        </w:rPr>
        <w:t>9</w:t>
      </w:r>
      <w:r>
        <w:rPr>
          <w:rFonts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年销售收入1亿元以上的部分，奖励比率为1%。</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744" w:firstLineChars="200"/>
        <w:rPr>
          <w:rFonts w:hint="eastAsia" w:ascii="楷体" w:hAnsi="楷体" w:eastAsia="楷体" w:cs="楷体"/>
          <w:b w:val="0"/>
          <w:bCs w:val="0"/>
          <w:spacing w:val="26"/>
          <w:sz w:val="32"/>
          <w:szCs w:val="32"/>
        </w:rPr>
      </w:pPr>
      <w:r>
        <w:rPr>
          <w:rFonts w:hint="eastAsia" w:ascii="楷体" w:hAnsi="楷体" w:eastAsia="楷体" w:cs="楷体"/>
          <w:b w:val="0"/>
          <w:bCs w:val="0"/>
          <w:spacing w:val="26"/>
          <w:sz w:val="32"/>
          <w:szCs w:val="32"/>
        </w:rPr>
        <w:t>(三)扶持二手车大卖场</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对实行统一收银、统一管理、统一纳税并入库的，且年销售收入达2亿元及以上的大型二手车市场(卖场),给予一次性奖励50万元(经营单位对奖励资金必须专款专用，用于集中收银工作设施设备等公共服务，不得擅自改变资金用途)。</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首次入库的统一收银经营单位可同时享受新增入库奖励和扩大经营奖励。</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36" w:firstLineChars="200"/>
        <w:outlineLvl w:val="0"/>
        <w:rPr>
          <w:rFonts w:ascii="黑体" w:hAnsi="黑体" w:eastAsia="黑体" w:cs="黑体"/>
          <w:b w:val="0"/>
          <w:bCs w:val="0"/>
          <w:spacing w:val="-1"/>
          <w:sz w:val="32"/>
          <w:szCs w:val="32"/>
        </w:rPr>
      </w:pPr>
      <w:r>
        <w:rPr>
          <w:rFonts w:ascii="黑体" w:hAnsi="黑体" w:eastAsia="黑体" w:cs="黑体"/>
          <w:b w:val="0"/>
          <w:bCs w:val="0"/>
          <w:spacing w:val="-1"/>
          <w:sz w:val="32"/>
          <w:szCs w:val="32"/>
        </w:rPr>
        <w:t>三、申报流程</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744" w:firstLineChars="200"/>
        <w:rPr>
          <w:rFonts w:hint="eastAsia" w:ascii="楷体" w:hAnsi="楷体" w:eastAsia="楷体" w:cs="楷体"/>
          <w:b w:val="0"/>
          <w:bCs w:val="0"/>
          <w:spacing w:val="26"/>
          <w:sz w:val="32"/>
          <w:szCs w:val="32"/>
        </w:rPr>
      </w:pPr>
      <w:r>
        <w:rPr>
          <w:rFonts w:hint="eastAsia" w:ascii="楷体" w:hAnsi="楷体" w:eastAsia="楷体" w:cs="楷体"/>
          <w:b w:val="0"/>
          <w:bCs w:val="0"/>
          <w:spacing w:val="26"/>
          <w:sz w:val="32"/>
          <w:szCs w:val="32"/>
        </w:rPr>
        <w:t>(一)企业申报</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采用“按季申报，季后次月奖励”的办法。即：销售收入累计达500万元以上的二手车经营单位，需在每季度后次月15日前填报《</w:t>
      </w:r>
      <w:r>
        <w:rPr>
          <w:rFonts w:hint="eastAsia" w:ascii="仿宋" w:hAnsi="仿宋" w:eastAsia="仿宋" w:cs="仿宋"/>
          <w:spacing w:val="0"/>
          <w:sz w:val="32"/>
          <w:szCs w:val="32"/>
          <w:lang w:eastAsia="zh-CN"/>
        </w:rPr>
        <w:t>盐湖</w:t>
      </w:r>
      <w:r>
        <w:rPr>
          <w:rFonts w:ascii="仿宋" w:hAnsi="仿宋" w:eastAsia="仿宋" w:cs="仿宋"/>
          <w:spacing w:val="0"/>
          <w:sz w:val="32"/>
          <w:szCs w:val="32"/>
        </w:rPr>
        <w:t>区支持二手车流通规模化发展奖励资金申报表》,并连同申请报告、营业执照、银行开户许可证、承诺书等相关申报材料向区商务局提出奖励书面申请。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744" w:firstLineChars="200"/>
        <w:rPr>
          <w:rFonts w:hint="eastAsia" w:ascii="楷体" w:hAnsi="楷体" w:eastAsia="楷体" w:cs="楷体"/>
          <w:b w:val="0"/>
          <w:bCs w:val="0"/>
          <w:spacing w:val="26"/>
          <w:sz w:val="32"/>
          <w:szCs w:val="32"/>
        </w:rPr>
      </w:pPr>
      <w:r>
        <w:rPr>
          <w:rFonts w:hint="eastAsia" w:ascii="楷体" w:hAnsi="楷体" w:eastAsia="楷体" w:cs="楷体"/>
          <w:b w:val="0"/>
          <w:bCs w:val="0"/>
          <w:spacing w:val="26"/>
          <w:sz w:val="32"/>
          <w:szCs w:val="32"/>
        </w:rPr>
        <w:t>(二)部门联审</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建立联审联席会议制度，联席会议小组组长由区政府办公室分管副主任担任，成员由区商务局、区财政局、区税务局各一名分管领导担任。区商务局收到企业申请后上报联席会议小组，并召集相关成员召开联席会议共同审核，出具联审意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744" w:firstLineChars="200"/>
        <w:rPr>
          <w:rFonts w:hint="eastAsia" w:ascii="楷体" w:hAnsi="楷体" w:eastAsia="楷体" w:cs="楷体"/>
          <w:b w:val="0"/>
          <w:bCs w:val="0"/>
          <w:spacing w:val="26"/>
          <w:sz w:val="32"/>
          <w:szCs w:val="32"/>
        </w:rPr>
      </w:pPr>
      <w:r>
        <w:rPr>
          <w:rFonts w:hint="eastAsia" w:ascii="楷体" w:hAnsi="楷体" w:eastAsia="楷体" w:cs="楷体"/>
          <w:b w:val="0"/>
          <w:bCs w:val="0"/>
          <w:spacing w:val="26"/>
          <w:sz w:val="32"/>
          <w:szCs w:val="32"/>
        </w:rPr>
        <w:t>(三)资金拨付</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区商务局根据审核结果向区人民政府申请奖励资金，奖励资金到位后及时拨付给相关企业。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36" w:firstLineChars="200"/>
        <w:outlineLvl w:val="0"/>
        <w:rPr>
          <w:rFonts w:ascii="黑体" w:hAnsi="黑体" w:eastAsia="黑体" w:cs="黑体"/>
          <w:b w:val="0"/>
          <w:bCs w:val="0"/>
          <w:spacing w:val="-1"/>
          <w:sz w:val="32"/>
          <w:szCs w:val="32"/>
        </w:rPr>
      </w:pPr>
      <w:r>
        <w:rPr>
          <w:rFonts w:ascii="黑体" w:hAnsi="黑体" w:eastAsia="黑体" w:cs="黑体"/>
          <w:b w:val="0"/>
          <w:bCs w:val="0"/>
          <w:spacing w:val="-1"/>
          <w:sz w:val="32"/>
          <w:szCs w:val="32"/>
        </w:rPr>
        <w:t>四、资金来源</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本办法所指的奖励资金及工作经费纳入区本级财政预算。</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36" w:firstLineChars="200"/>
        <w:outlineLvl w:val="0"/>
        <w:rPr>
          <w:rFonts w:ascii="黑体" w:hAnsi="黑体" w:eastAsia="黑体" w:cs="黑体"/>
          <w:b w:val="0"/>
          <w:bCs w:val="0"/>
          <w:spacing w:val="-1"/>
          <w:sz w:val="32"/>
          <w:szCs w:val="32"/>
        </w:rPr>
      </w:pPr>
      <w:r>
        <w:rPr>
          <w:rFonts w:ascii="黑体" w:hAnsi="黑体" w:eastAsia="黑体" w:cs="黑体"/>
          <w:b w:val="0"/>
          <w:bCs w:val="0"/>
          <w:spacing w:val="-1"/>
          <w:sz w:val="32"/>
          <w:szCs w:val="32"/>
        </w:rPr>
        <w:t>五、其他</w:t>
      </w:r>
    </w:p>
    <w:p>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rPr>
          <w:rFonts w:ascii="仿宋" w:hAnsi="仿宋" w:eastAsia="仿宋" w:cs="仿宋"/>
          <w:spacing w:val="0"/>
          <w:sz w:val="32"/>
          <w:szCs w:val="32"/>
        </w:rPr>
      </w:pPr>
      <w:r>
        <w:rPr>
          <w:rFonts w:ascii="仿宋" w:hAnsi="仿宋" w:eastAsia="仿宋" w:cs="仿宋"/>
          <w:spacing w:val="12"/>
          <w:sz w:val="32"/>
          <w:szCs w:val="32"/>
        </w:rPr>
        <w:t xml:space="preserve">  </w:t>
      </w:r>
      <w:r>
        <w:rPr>
          <w:rFonts w:ascii="仿宋" w:hAnsi="仿宋" w:eastAsia="仿宋" w:cs="仿宋"/>
          <w:spacing w:val="0"/>
          <w:sz w:val="32"/>
          <w:szCs w:val="32"/>
        </w:rPr>
        <w:t xml:space="preserve">  (一)申请奖励的二手车经营单位要对所提供的材料负责，确保真实、准确、有效。</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(二)申请奖励的二手车经营单位要按统计规章制度要求，及时做好联网直报统计工作，不得虚报、瞒报、迟报、拒报，确保源头数据质量。</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(三)获得奖励的二手车经营单位要按照规定管理和使用资金，如存在弄虚作假、违规使用资金等行为，将取消扶持政策，追回已发放的奖励资金，并按规定追究责任。</w:t>
      </w:r>
    </w:p>
    <w:p>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rPr>
          <w:rFonts w:ascii="仿宋" w:hAnsi="仿宋" w:eastAsia="仿宋" w:cs="仿宋"/>
          <w:spacing w:val="0"/>
          <w:sz w:val="32"/>
          <w:szCs w:val="32"/>
        </w:rPr>
      </w:pPr>
      <w:r>
        <w:rPr>
          <w:rFonts w:ascii="仿宋" w:hAnsi="仿宋" w:eastAsia="仿宋" w:cs="仿宋"/>
          <w:spacing w:val="0"/>
          <w:sz w:val="32"/>
          <w:szCs w:val="32"/>
        </w:rPr>
        <w:t xml:space="preserve">    (四)二手车经营单位发生重大及以上安全事故或者违反相关法律法规的，不得享受当年的扶持奖励。</w:t>
      </w:r>
    </w:p>
    <w:p>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rPr>
          <w:rFonts w:ascii="仿宋" w:hAnsi="仿宋" w:eastAsia="仿宋" w:cs="仿宋"/>
          <w:spacing w:val="0"/>
          <w:sz w:val="32"/>
          <w:szCs w:val="32"/>
        </w:rPr>
      </w:pPr>
      <w:r>
        <w:rPr>
          <w:rFonts w:ascii="仿宋" w:hAnsi="仿宋" w:eastAsia="仿宋" w:cs="仿宋"/>
          <w:spacing w:val="0"/>
          <w:sz w:val="32"/>
          <w:szCs w:val="32"/>
        </w:rPr>
        <w:t xml:space="preserve">    (五)本办法自印发之日起施行，试行期</w:t>
      </w:r>
      <w:r>
        <w:rPr>
          <w:rFonts w:hint="eastAsia" w:ascii="仿宋" w:hAnsi="仿宋" w:eastAsia="仿宋" w:cs="仿宋"/>
          <w:spacing w:val="0"/>
          <w:sz w:val="32"/>
          <w:szCs w:val="32"/>
          <w:lang w:val="en-US" w:eastAsia="zh-CN"/>
        </w:rPr>
        <w:t>1</w:t>
      </w:r>
      <w:r>
        <w:rPr>
          <w:rFonts w:ascii="仿宋" w:hAnsi="仿宋" w:eastAsia="仿宋" w:cs="仿宋"/>
          <w:spacing w:val="0"/>
          <w:sz w:val="32"/>
          <w:szCs w:val="32"/>
        </w:rPr>
        <w:t>年</w:t>
      </w:r>
      <w:r>
        <w:rPr>
          <w:rFonts w:hint="eastAsia" w:ascii="仿宋" w:hAnsi="仿宋" w:eastAsia="仿宋" w:cs="仿宋"/>
          <w:spacing w:val="0"/>
          <w:sz w:val="32"/>
          <w:szCs w:val="32"/>
          <w:lang w:eastAsia="zh-CN"/>
        </w:rPr>
        <w:t>，有效期至</w:t>
      </w:r>
      <w:r>
        <w:rPr>
          <w:rFonts w:hint="eastAsia" w:ascii="仿宋" w:hAnsi="仿宋" w:eastAsia="仿宋" w:cs="仿宋"/>
          <w:spacing w:val="0"/>
          <w:sz w:val="32"/>
          <w:szCs w:val="32"/>
          <w:lang w:val="en-US" w:eastAsia="zh-CN"/>
        </w:rPr>
        <w:t>2027年</w:t>
      </w:r>
      <w:r>
        <w:rPr>
          <w:rFonts w:ascii="仿宋" w:hAnsi="仿宋" w:eastAsia="仿宋" w:cs="仿宋"/>
          <w:spacing w:val="0"/>
          <w:sz w:val="32"/>
          <w:szCs w:val="32"/>
        </w:rPr>
        <w:t>。如遇国家及省市相关政策变化，及时修订本办法。</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rPr>
          <w:rFonts w:ascii="仿宋" w:hAnsi="仿宋" w:eastAsia="仿宋" w:cs="仿宋"/>
          <w:spacing w:val="0"/>
          <w:sz w:val="32"/>
          <w:szCs w:val="32"/>
        </w:rPr>
      </w:pPr>
      <w:r>
        <w:rPr>
          <w:rFonts w:ascii="仿宋" w:hAnsi="仿宋" w:eastAsia="仿宋" w:cs="仿宋"/>
          <w:spacing w:val="0"/>
          <w:sz w:val="32"/>
          <w:szCs w:val="32"/>
        </w:rPr>
        <w:t>(六)本办法由区商务局负责解释。</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420" w:firstLineChars="200"/>
        <w:rPr>
          <w:spacing w:val="0"/>
        </w:rPr>
      </w:pPr>
    </w:p>
    <w:sectPr>
      <w:footerReference r:id="rId5" w:type="default"/>
      <w:pgSz w:w="11900" w:h="16840"/>
      <w:pgMar w:top="1431" w:right="1400" w:bottom="1259" w:left="1480" w:header="0" w:footer="991"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FFE5A0D"/>
    <w:rsid w:val="27637F30"/>
    <w:rsid w:val="39F70A47"/>
    <w:rsid w:val="48531E03"/>
    <w:rsid w:val="54846A5D"/>
    <w:rsid w:val="5FDFA623"/>
    <w:rsid w:val="62D50B34"/>
    <w:rsid w:val="6F3F69FA"/>
    <w:rsid w:val="776F2AE2"/>
    <w:rsid w:val="7E7ED570"/>
    <w:rsid w:val="7FBC554A"/>
    <w:rsid w:val="7FF0A79F"/>
    <w:rsid w:val="7FFE59BB"/>
    <w:rsid w:val="A5DA2F9C"/>
    <w:rsid w:val="BEDB009A"/>
    <w:rsid w:val="CDFD5B6C"/>
    <w:rsid w:val="D3FF6CB7"/>
    <w:rsid w:val="DE374B7C"/>
    <w:rsid w:val="DEFB0408"/>
    <w:rsid w:val="EBFFB78C"/>
    <w:rsid w:val="EFFFC95E"/>
    <w:rsid w:val="F7BF4076"/>
    <w:rsid w:val="FFDC8C0B"/>
    <w:rsid w:val="FFFF20E0"/>
    <w:rsid w:val="FFFFA3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134</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2024-02-24T01:10:00Z</dcterms:created>
  <dc:creator>Kingsoft-PDF</dc:creator>
  <cp:lastModifiedBy>jgsw</cp:lastModifiedBy>
  <dcterms:modified xsi:type="dcterms:W3CDTF">2024-03-14T17:45:46Z</dcterms:modified>
  <dc:subject>pdfbuilder</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2024-02-20T17:10:14Z</vt:filetime>
  </property>
  <property fmtid="{D5CDD505-2E9C-101B-9397-08002B2CF9AE}" pid="4" name="UsrData">
    <vt:lpwstr>65d46c7203e3e300202d921dwl</vt:lpwstr>
  </property>
  <property fmtid="{D5CDD505-2E9C-101B-9397-08002B2CF9AE}" pid="5" name="KSOProductBuildVer">
    <vt:lpwstr>2052-11.8.2.9864</vt:lpwstr>
  </property>
  <property fmtid="{D5CDD505-2E9C-101B-9397-08002B2CF9AE}" pid="6" name="ICV">
    <vt:lpwstr>515FE58EA2CC4A8F88C8E80AB3D91C9D_13</vt:lpwstr>
  </property>
</Properties>
</file>