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u w:val="none"/>
        </w:rPr>
        <w:t>行政处罚服务指南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一、执法事项名称及适用范围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本指南适用于办理医保基金管理行政处罚案件。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二、办理依据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《社会保险法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基金使用监督管理条例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》《山西省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医疗保障基金监督管理办法》等相关的法律法规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三、承办机构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运城市盐湖区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医疗保障局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四、办理基本流程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受理－立案－调查－做出处理决定（答复投诉举报人）－送达文书－处罚决定公开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五、办理时限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行政处罚、行政许可、行政强制等有明确办理时限的必须明确办理时限。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六、救济渠道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（一）当事人享有的权利：听证权利、陈述申辩权利、行政复议权利、行政诉讼权利、国家赔偿权利。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（二）救济途径：向作出具体行政行为的行政执法部门申请进行听证、陈述申辩；向本级政府法制机构提出行政复议；向被告所在地人民法院提出行政诉讼和国家赔偿。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七、办公电话、地址和时间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办公时间：周一至周五（法定节假日除外）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办公电话：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0359-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5738084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办公地址：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盐湖区行政办公中心4楼（池神庙对面）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default" w:ascii="-webkit-standard" w:hAnsi="-webkit-standard" w:eastAsia="-webkit-standard" w:cs="-webkit-standard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u w:val="none"/>
        </w:rPr>
        <w:t>行政检查服务指南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一、执法事项名称及适用范围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本指南适用于办理医保基金管理行政检查事项。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二、办理依据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《社会保险法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医疗保障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基金使用监督管理条例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》《山西省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医疗保障基金监督管理办法》等相关的法律法规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三、承办机构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运城市盐湖区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医疗保障局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四、办理基本流程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225" w:afterAutospacing="0" w:line="26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制定监督检查工作计划－下发检查通知－组织实施检查－汇总检查结果。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五、救济渠道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（一）当事人享有的权利：听证权利、陈述申辩权利、行政复议权利、行政诉讼权利、国家赔偿权利。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（二）救济途径：向作出具体行政行为的行政执法部门申请进行听证、陈述申辩；向本级政府法制机构提出行政复议；向被告所在地人民法院提出行政诉讼和国家赔偿。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六、办公电话、地址和时间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办公时间：周一至周五（法定节假日除外）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办公电话：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0359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-5738084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办公地址：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盐湖区行政办公中心4楼（池神庙对面）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zhhMGFmNjVmZjI0N2I3MDM5YjI2ZDllYTNjOTgifQ=="/>
  </w:docVars>
  <w:rsids>
    <w:rsidRoot w:val="00000000"/>
    <w:rsid w:val="204214B6"/>
    <w:rsid w:val="2DD344B5"/>
    <w:rsid w:val="4557630C"/>
    <w:rsid w:val="567B402B"/>
    <w:rsid w:val="6E973C4F"/>
    <w:rsid w:val="E7FE6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2023-10-10T02:58:00Z</dcterms:created>
  <dc:creator>iPhone</dc:creator>
  <cp:lastModifiedBy>皈依。</cp:lastModifiedBy>
  <dcterms:modified xsi:type="dcterms:W3CDTF">2023-10-21T02:13:47Z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3ED9203257BA7207D1DC236523C032F2_31</vt:lpwstr>
  </property>
</Properties>
</file>