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textAlignment w:val="center"/>
        <w:rPr>
          <w:rFonts w:hint="eastAsia" w:ascii="SimHei" w:hAnsi="SimHei" w:eastAsia="SimHei" w:cs="SimHei"/>
          <w:b w:val="0"/>
          <w:bCs w:val="0"/>
          <w:i w:val="0"/>
          <w:iCs w:val="0"/>
          <w:color w:val="000000"/>
          <w:kern w:val="0"/>
          <w:sz w:val="32"/>
          <w:szCs w:val="32"/>
          <w:u w:val="none"/>
          <w:lang w:val="en-US" w:eastAsia="zh-CN" w:bidi="ar"/>
        </w:rPr>
      </w:pPr>
      <w:r>
        <w:rPr>
          <w:rFonts w:hint="eastAsia" w:ascii="SimHei" w:hAnsi="SimHei" w:eastAsia="SimHei" w:cs="SimHei"/>
          <w:b w:val="0"/>
          <w:bCs w:val="0"/>
          <w:i w:val="0"/>
          <w:iCs w:val="0"/>
          <w:color w:val="000000"/>
          <w:kern w:val="0"/>
          <w:sz w:val="32"/>
          <w:szCs w:val="32"/>
          <w:u w:val="none"/>
          <w:lang w:val="en-US" w:eastAsia="zh-CN" w:bidi="ar"/>
        </w:rPr>
        <w:t>附件</w:t>
      </w:r>
    </w:p>
    <w:p>
      <w:pPr>
        <w:keepNext w:val="0"/>
        <w:keepLines w:val="0"/>
        <w:widowControl/>
        <w:suppressLineNumbers w:val="0"/>
        <w:jc w:val="center"/>
        <w:textAlignment w:val="center"/>
        <w:rPr>
          <w:rFonts w:hint="eastAsia" w:ascii="FZXiaoBiaoSong-B05S" w:hAnsi="FZXiaoBiaoSong-B05S" w:eastAsia="FZXiaoBiaoSong-B05S" w:cs="FZXiaoBiaoSong-B05S"/>
          <w:b w:val="0"/>
          <w:bCs w:val="0"/>
          <w:i w:val="0"/>
          <w:iCs w:val="0"/>
          <w:color w:val="000000"/>
          <w:kern w:val="0"/>
          <w:sz w:val="44"/>
          <w:szCs w:val="44"/>
          <w:u w:val="none"/>
          <w:lang w:val="en-US" w:eastAsia="zh-CN" w:bidi="ar"/>
        </w:rPr>
      </w:pPr>
      <w:r>
        <w:rPr>
          <w:rFonts w:hint="eastAsia" w:ascii="FZXiaoBiaoSong-B05S" w:hAnsi="FZXiaoBiaoSong-B05S" w:eastAsia="FZXiaoBiaoSong-B05S" w:cs="FZXiaoBiaoSong-B05S"/>
          <w:b w:val="0"/>
          <w:bCs w:val="0"/>
          <w:i w:val="0"/>
          <w:iCs w:val="0"/>
          <w:color w:val="000000"/>
          <w:kern w:val="0"/>
          <w:sz w:val="36"/>
          <w:szCs w:val="36"/>
          <w:u w:val="none"/>
          <w:lang w:val="en-US" w:eastAsia="zh-CN" w:bidi="ar"/>
        </w:rPr>
        <w:t>区应急管理局</w:t>
      </w:r>
      <w:r>
        <w:rPr>
          <w:rFonts w:hint="eastAsia" w:ascii="FZXiaoBiaoSong-B05S" w:hAnsi="FZXiaoBiaoSong-B05S" w:eastAsia="FZXiaoBiaoSong-B05S" w:cs="FZXiaoBiaoSong-B05S"/>
          <w:color w:val="auto"/>
          <w:kern w:val="2"/>
          <w:sz w:val="36"/>
          <w:szCs w:val="36"/>
          <w:lang w:val="en-US" w:eastAsia="zh-CN" w:bidi="ar-SA"/>
        </w:rPr>
        <w:t>权责清单分解到内设机构事项目录</w:t>
      </w:r>
    </w:p>
    <w:p>
      <w:pPr>
        <w:pStyle w:val="2"/>
        <w:rPr>
          <w:rFonts w:hint="eastAsia"/>
          <w:lang w:val="en-US" w:eastAsia="zh-CN"/>
        </w:rPr>
      </w:pPr>
    </w:p>
    <w:tbl>
      <w:tblPr>
        <w:tblStyle w:val="4"/>
        <w:tblW w:w="89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
        <w:gridCol w:w="1385"/>
        <w:gridCol w:w="4052"/>
        <w:gridCol w:w="2100"/>
        <w:gridCol w:w="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default" w:ascii="Times New Roman" w:hAnsi="Times New Roman" w:eastAsia="SimHei" w:cs="Times New Roman"/>
                <w:i w:val="0"/>
                <w:iCs w:val="0"/>
                <w:color w:val="000000"/>
                <w:sz w:val="24"/>
                <w:szCs w:val="24"/>
                <w:u w:val="none"/>
              </w:rPr>
            </w:pPr>
            <w:r>
              <w:rPr>
                <w:rFonts w:hint="default" w:ascii="Times New Roman" w:hAnsi="Times New Roman" w:eastAsia="SimHei" w:cs="Times New Roman"/>
                <w:i w:val="0"/>
                <w:iCs w:val="0"/>
                <w:color w:val="000000"/>
                <w:kern w:val="0"/>
                <w:sz w:val="24"/>
                <w:szCs w:val="24"/>
                <w:u w:val="none"/>
                <w:lang w:val="en-US" w:eastAsia="zh-CN" w:bidi="ar"/>
              </w:rPr>
              <w:t>序号</w:t>
            </w:r>
          </w:p>
        </w:tc>
        <w:tc>
          <w:tcPr>
            <w:tcW w:w="1385" w:type="dxa"/>
            <w:noWrap w:val="0"/>
            <w:vAlign w:val="center"/>
          </w:tcPr>
          <w:p>
            <w:pPr>
              <w:keepNext w:val="0"/>
              <w:keepLines w:val="0"/>
              <w:widowControl/>
              <w:suppressLineNumbers w:val="0"/>
              <w:jc w:val="center"/>
              <w:textAlignment w:val="center"/>
              <w:rPr>
                <w:rFonts w:hint="default" w:ascii="Times New Roman" w:hAnsi="Times New Roman" w:eastAsia="SimHei" w:cs="Times New Roman"/>
                <w:i w:val="0"/>
                <w:iCs w:val="0"/>
                <w:color w:val="000000"/>
                <w:sz w:val="24"/>
                <w:szCs w:val="24"/>
                <w:u w:val="none"/>
              </w:rPr>
            </w:pPr>
            <w:r>
              <w:rPr>
                <w:rFonts w:hint="default" w:ascii="Times New Roman" w:hAnsi="Times New Roman" w:eastAsia="SimHei" w:cs="Times New Roman"/>
                <w:i w:val="0"/>
                <w:iCs w:val="0"/>
                <w:color w:val="000000"/>
                <w:kern w:val="0"/>
                <w:sz w:val="24"/>
                <w:szCs w:val="24"/>
                <w:u w:val="none"/>
                <w:lang w:val="en-US" w:eastAsia="zh-CN" w:bidi="ar"/>
              </w:rPr>
              <w:t>职权类别</w:t>
            </w:r>
          </w:p>
        </w:tc>
        <w:tc>
          <w:tcPr>
            <w:tcW w:w="4052" w:type="dxa"/>
            <w:noWrap w:val="0"/>
            <w:vAlign w:val="center"/>
          </w:tcPr>
          <w:p>
            <w:pPr>
              <w:keepNext w:val="0"/>
              <w:keepLines w:val="0"/>
              <w:widowControl/>
              <w:suppressLineNumbers w:val="0"/>
              <w:jc w:val="center"/>
              <w:textAlignment w:val="center"/>
              <w:rPr>
                <w:rFonts w:hint="default" w:ascii="Times New Roman" w:hAnsi="Times New Roman" w:eastAsia="SimHei" w:cs="Times New Roman"/>
                <w:i w:val="0"/>
                <w:iCs w:val="0"/>
                <w:color w:val="000000"/>
                <w:sz w:val="24"/>
                <w:szCs w:val="24"/>
                <w:u w:val="none"/>
              </w:rPr>
            </w:pPr>
            <w:r>
              <w:rPr>
                <w:rFonts w:hint="default" w:ascii="Times New Roman" w:hAnsi="Times New Roman" w:eastAsia="SimHei" w:cs="Times New Roman"/>
                <w:i w:val="0"/>
                <w:iCs w:val="0"/>
                <w:color w:val="000000"/>
                <w:kern w:val="0"/>
                <w:sz w:val="24"/>
                <w:szCs w:val="24"/>
                <w:u w:val="none"/>
                <w:lang w:val="en-US" w:eastAsia="zh-CN" w:bidi="ar"/>
              </w:rPr>
              <w:t>职权名称</w:t>
            </w:r>
          </w:p>
        </w:tc>
        <w:tc>
          <w:tcPr>
            <w:tcW w:w="2100" w:type="dxa"/>
            <w:noWrap w:val="0"/>
            <w:vAlign w:val="center"/>
          </w:tcPr>
          <w:p>
            <w:pPr>
              <w:keepNext w:val="0"/>
              <w:keepLines w:val="0"/>
              <w:widowControl/>
              <w:suppressLineNumbers w:val="0"/>
              <w:jc w:val="center"/>
              <w:textAlignment w:val="center"/>
              <w:rPr>
                <w:rFonts w:hint="default" w:ascii="Times New Roman" w:hAnsi="Times New Roman" w:eastAsia="SimHei" w:cs="Times New Roman"/>
                <w:i w:val="0"/>
                <w:iCs w:val="0"/>
                <w:color w:val="000000"/>
                <w:sz w:val="24"/>
                <w:szCs w:val="24"/>
                <w:u w:val="none"/>
              </w:rPr>
            </w:pPr>
            <w:r>
              <w:rPr>
                <w:rFonts w:hint="default" w:ascii="Times New Roman" w:hAnsi="Times New Roman" w:eastAsia="SimHei" w:cs="Times New Roman"/>
                <w:i w:val="0"/>
                <w:iCs w:val="0"/>
                <w:color w:val="000000"/>
                <w:kern w:val="0"/>
                <w:sz w:val="24"/>
                <w:szCs w:val="24"/>
                <w:u w:val="none"/>
                <w:lang w:val="en-US" w:eastAsia="zh-CN" w:bidi="ar"/>
              </w:rPr>
              <w:t>承办机构</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SimHei" w:cs="Times New Roman"/>
                <w:i w:val="0"/>
                <w:iCs w:val="0"/>
                <w:color w:val="000000"/>
                <w:sz w:val="24"/>
                <w:szCs w:val="24"/>
                <w:u w:val="none"/>
              </w:rPr>
            </w:pPr>
            <w:r>
              <w:rPr>
                <w:rFonts w:hint="default" w:ascii="Times New Roman" w:hAnsi="Times New Roman" w:eastAsia="SimHei" w:cs="Times New Roman"/>
                <w:i w:val="0"/>
                <w:iCs w:val="0"/>
                <w:color w:val="000000"/>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iCs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行政许可</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iCs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金属冶炼建设项目安全设施设计审查</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行政审批股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2</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iCs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行政许可</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iCs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烟花爆竹经营（零售）许可证核发</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行政审批股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3</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iCs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行政许可</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iCs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非煤矿矿山建设项目安全设施设计审查</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行政审批股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shd w:val="clear" w:color="auto" w:fill="auto"/>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4</w:t>
            </w:r>
          </w:p>
        </w:tc>
        <w:tc>
          <w:tcPr>
            <w:tcW w:w="1385" w:type="dxa"/>
            <w:shd w:val="clear" w:color="auto" w:fill="auto"/>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行政许可</w:t>
            </w:r>
          </w:p>
        </w:tc>
        <w:tc>
          <w:tcPr>
            <w:tcW w:w="4052" w:type="dxa"/>
            <w:shd w:val="clear" w:color="auto" w:fill="FFFFFF"/>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危险化学品经营许可</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行政审批股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shd w:val="clear" w:color="auto" w:fill="auto"/>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5</w:t>
            </w:r>
          </w:p>
        </w:tc>
        <w:tc>
          <w:tcPr>
            <w:tcW w:w="1385" w:type="dxa"/>
            <w:shd w:val="clear" w:color="auto" w:fill="auto"/>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行政许可</w:t>
            </w:r>
          </w:p>
        </w:tc>
        <w:tc>
          <w:tcPr>
            <w:tcW w:w="4052" w:type="dxa"/>
            <w:shd w:val="clear" w:color="auto" w:fill="FFFFFF"/>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石油天然气建设项目安全设施设计审查</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行政审批股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shd w:val="clear" w:color="auto" w:fill="auto"/>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6</w:t>
            </w:r>
          </w:p>
        </w:tc>
        <w:tc>
          <w:tcPr>
            <w:tcW w:w="1385" w:type="dxa"/>
            <w:shd w:val="clear" w:color="auto" w:fill="auto"/>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行政许可</w:t>
            </w:r>
          </w:p>
        </w:tc>
        <w:tc>
          <w:tcPr>
            <w:tcW w:w="4052" w:type="dxa"/>
            <w:shd w:val="clear" w:color="auto" w:fill="FFFFFF"/>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矿山建设项目安全设施设计审查</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行政审批股</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7</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对生产经营单位的决策机构、主要负责人或者个人经营的投资人（包括实际控制人）不依法保证安全生产所必需的资金投入，致使生产经营单位不具备安全生产条件的的处罚。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执法一、二、三中队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8</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对生产经营单位的决策机构、主要负责人或者个人经营的投资人（包括实际控制人）不依法保证安全生产所必需的资金投入，导致发生生产安全事故的处罚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执法一、二、三中队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9</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对生产经营单位不具备法定安全生产条件责令限期改正逾期未改正的；经停产停业整顿仍不具备安全生产条件的处罚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执法一、二、三中队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10</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生产经营单位的主要负责人未履行法定安全生产管理职责的处罚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执法一、二、三中队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11</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生产经营单位的主要负责人未依法履行安全生产管理职责，导致发生生产安全事故的处罚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执法一、二、三中队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12</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生产经营单位拒绝、阻碍负有安全生产监督管理职责的部门依法实施监督检查，或者在被检查时隐瞒事故隐患，不如实反映情况的处罚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执法一、二、三中队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13</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生产经营单位主要负责人发生生产安全事故时，不立即组织抢救或者在事故调查处理期间擅离职守或者逃匿，或对生产安全事故隐瞒不报、谎报或者迟报的处罚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执法一、二、三中队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14</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对生产安全事故负有责任的生产经营单位的处罚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执法一、二、三中队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15</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生产安全事故发生单位及其有关人员谎报或者瞒报事故的处罚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执法一、二、三中队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16</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生产安全事故发生单位主要负责人、直接负责的主管人员和其他直接责任人员在发生事故后逃匿的处罚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执法一、二、三中队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17</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生产安全事故发生单位及其有关人员伪造、故意破坏事故现场的；转移、隐匿资金、财产、销毁有关证据、资料的；拒绝接受调查，或者拒绝提供有关情况和资料的；在事故调查中作伪证，或者指使他人作伪证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执法一、二、三中队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18</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生产经营单位对较大涉险事故迟报、漏报、谎报或者瞒报的处罚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执法一、二、三中队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19</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生产经营单位未按照规定设置安全生产管理机构或者配备安全生产管理人员的处罚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执法一、二、三中队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20</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生产经营单位的安全生产管理人员未履行《安全生产法》规定的安全生产管理职责的处罚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执法一、二、三中队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21</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危险物品的生产、经营、储存单位以及矿山、金属冶炼的主要负责人和安全生产管理人员未按照规定经考核合格的处罚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执法一、二、三中队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22</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生产经营单位主要负责人、安全生产管理人员、特种作业人员以欺骗、贿赂等不正当手段取得安全合格证或者特种作业操作证的处罚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执法一、二、三中队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23</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生产经营单位从业人员安全培训的时间少于《生产经营单位安全培训规定》或者有关标准规定的处罚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执法一、二、三中队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24</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矿山新招的井下作业人员和危险物品生产经营单位新招的危险工艺操作岗位人员，未经实习期满独立上岗作业的处罚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执法二中队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25</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生产经营单位相关人员未按规定重新参加安全培训的处罚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执法一、二、三中队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26</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生产经营单位未按规定对从业人员、被派遣劳动者、实习学生进行安全生产教育和培训，或未按照规定如实告知有关的安全生产事项的处罚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执法一、二、三中队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27</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对生产经营单位未如实记录安全生产教育和培训情况的处罚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执法一、二、三中队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28</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生产经营单位未将安全培训工作纳入本单位工作计划并保证安全培训工作所需资金的处罚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执法一、二、三中队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29</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从业人员进行安全培训期间生产经营单位未支付工资并承担安全培训费用的处罚。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执法一、二、三中队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30</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生产经营单位未为从业人员提供符合国家标准或者行业标准的劳动防护用品的处罚。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执法一、二、三中队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31</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生产经营单位特种作业人员未按规定经专门安全作业培训并取得相应资格，上岗作业的处罚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执法一、二、三中队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32</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生产经营单位未建立健全特种作业人员档案的处罚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执法一、二、三中队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33</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生产经营单位非法印制、伪造、倒卖特种作业操作证，或者使用非法印制、伪造、倒卖的特种作业操作证的处罚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执法一、二、三中队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34</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特种作业人员伪造、涂改或者使用伪造的特种作业操作证的；转借、转让、冒用特种作业操作证的处罚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执法一、二、三中队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35</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生产经营单位与从业人员订立协议，免除或者减轻其对从业人员因生产安全事故伤亡依法应承担的责任的处罚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执法一、二、三中队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36</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危险物品的生产、经营、储存单位以及矿山企业、建筑施工单位未建立应急救援组织或者未按规定签订救护协议的处罚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执法一、二、三中队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37</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危险物品的生产、经营、储存单位以及矿山企业、建筑施工单位未配备必要的应急救援器材、设备，并进行经常性维护、保养，保证正常运转的处罚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执法一、二、三中队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38</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对生产经营单位未按照规定制定生产安全事故应急救援预案或者未定期组织演练的处罚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执法一、二、三中队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39</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对生产经营单位在应急预案编制前未按照规定开展风险评估和应急资源调查的处罚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执法一、二、三中队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40</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对生产经营单位未按照规定开展应急预案评审或者论证的处罚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执法一、二、三中队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41</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对生产经营单位未按照规定进行应急预案备案的处罚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执法一、二、三中队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42</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对事故风险可能影响周边单位、人员的，生产经营单位未将事故风险的性质、影响范围和应急防范措施告知周边单位和人员的处罚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执法一、二、三中队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43</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对生产经营单位未按照规定开展应急预案评估的处罚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执法一、二、三中队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44</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对生产经营单位未按照规定进行应急预案修订并重新备案的处罚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执法一、二、三中队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45</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对生产经营单位未落实应急预案规定的应急物资及装备的处罚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执法一、二、三中队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46</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生产经营单位未将事故隐患排查治理情况如实记录或者未向从业人员通报的处罚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执法一、二、三中队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47</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生产经营单位未建立事故隐患排查治理制度的处罚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执法一、二、三中队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48</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生产经营单位未按规定上报隐患排查治理统计分析表的处罚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执法一、二、三中队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49</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生产经营单位未按规定制定隐患治理方案的处罚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执法一、二、三中队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50</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生产经营单位重大隐患不报或未及时报告的处罚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执法一、二、三中队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51</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生产经营单位未采取措施消除事故隐患的处罚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执法一、二、三中队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52</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生产经营单位未对隐患进行排查治理擅自生产经营的处罚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执法一、二、三中队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53</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生产经营单位隐患整改不合格或未经安监部门审查同意擅自恢复生产经营的处罚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执法一、二、三中队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54</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生产经营单位将生产经营项目、场所、设备发包或者出租给不具备安全生产条件或者相应资质的单位或者个人的处罚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执法一、二、三中队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55</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生产经营单位未与承包单位、承租单位签订专门的安全生产管理协议或者未在承包合同、租赁合同中明确各自的安全生产管理职责，或者未对承包单位、承租单位的安全生产统一协调、管理的处罚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执法一、二、三中队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56</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两个以上生产经营单位在同一作业区域内进行可能危及对方安全生产的生产经营活动，未签订安全生产管理协议或者未指定专职安全生产管理人员进行安全检查与协调的处罚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执法一、二、三中队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57</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生产、经营、储存、使用危险物品的车间、商店、仓库与员工宿舍在同一座建筑内，或者与员工宿舍的距离不符合安全要求的处罚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执法一、二、三中队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58</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生产经营场所和员工宿舍未设置符合紧急疏散需要、标志明显、保持畅通的出口，或者锁闭、封堵生产经营场所或者员工宿舍出口的处罚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执法一、二、三中队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59</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生产经营单位及其主要负责人或者其他人员违反操作规程或者安全管理规定作业的处罚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执法一、二、三中队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60</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生产经营单位及其主要负责人或者其他人员违章指挥从业人员或者强令从业人员违章、冒险作业的处罚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执法一、二、三中队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61</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生产经营单位及其主要负责人或者其他人员发现从业人员违章作业不加制止的处罚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执法一、二、三中队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62</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生产经营单位超过核定的生产能力、强度或者定员进行生产的处罚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执法一、二、三中队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63</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生产经营单位对被查封或者扣押的设施、设备、器材、危险物品和作业场所，擅自启封或者使用的处罚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执法一、二、三中队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64</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生产经营单位故意提供虚假情况或者隐瞒存在的事故隐患以及其他安全问题的处罚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执法一、二、三中队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65</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生产经营单位拒不执行安监部门及其行政执法人员的安全监管指令的处罚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执法一、二、三中队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66</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生产经营单位未取得安全生产许可证擅自进行生产的；出租、出借或者以其他形式转让安全生产许可证的；接受转让的安全生产许可证的；冒用或者使用伪造的安全生产许可证的；安全生产许可证有效期满未办理延期手续，继续进行生产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执法一、二、三中队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67</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非煤矿矿山企业在安全生产许可证有效期内采矿许可证到期失效，或者采矿许可证被暂扣、撤销、吊销和注销的，未按规定向原安全生产许可证颁发管理机关报告，并交回安全生产许可证正本和副本的处罚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执法二中队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68</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为未取得安全生产许可证或者其他批准文件擅自从事生产经营活动的生产经营单位提供生产经营场所、运输、保管、仓储等条件的处罚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执法一、二、三中队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69</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生产经营单位及其有关人员弄虚作假，骗取或者勾结、串通行政审批工作人员取得安全生产许可证书及其他批准文件的处罚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执法一、二、三中队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70</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生产经营单位及其有关人员未依法办理安全生产许可证书变更手续的处罚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执法一、二、三中队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71</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生产经营单位未按照规定对矿山、金属冶炼建设项目或者用于生产、储存、装卸危险物品的建设项目进行安全评价的处罚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执法一、二、三中队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72</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未经安全条件审查，新建、改建、扩建生产、储存危险化学品的建设项目的处罚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73</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危险化学品建设项目发生变化后，未重新申请安全条件审查，以及审查未通过擅自建设的处罚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74</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矿山、金属冶炼建设项目或者用于生产、储存、装卸危险物品的建设项目没有安全设施设计或者安全设施设计未按照规定报经有关部门审查同意的处罚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执法二中队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75</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矿山、金属冶炼建设项目或者用于生产、储存、装卸危险物品的建设项目的施工单位未按照批准的安全设施设计施工的处罚。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执法二中队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76</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已经批准的建设项目安全设施设计发生重大变更，生产经营单位未报原批准部门审查同意擅自开工建设的处罚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执法一、二、三中队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77</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矿山、金属冶炼建设项目或者用于生产、储存危险物品的建设项目竣工投入生产或者使用前，安全设施未经验收合格的处罚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执法二中队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78</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危险化学品建设项目安全设施竣工后未进行检验、检测的处罚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79</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危险化学品建设项目建设单位在申请建设项目安全审查时提供虚假文件、资料的处罚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80</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危险化学品建设项目建设单位未组织有关单位和专家研究提出试生产（使用）可能出现的安全问题及对策，或者未制定周密的试生产（使用）方案，进行试生产（使用）的；未组织有关专家对试生产（使用）方案进行审查、对试生产（使用）条件进行检查确认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81</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危险化学品建设项目建设单位未组织有关专家对试生产（使用）方案进行审查、对试生产（使用）条件进行检查确认的的处罚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82</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生产经营单位未在较大危险因素的生产经营场所和有关设施、设备上设置明显的安全警示标志以及通信、报警装置等的处罚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执法一、二、三中队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83</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生产经营单位安全设备的安装、使用、检测、改造和报废不符合国家标准或者行业标准或未对之进行经常性维护、保养和定期检测，以及擅自拆除或者废弃不用安全设施的处罚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执法一、二、三中队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84</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生产经营单位危险物品的容器、运输工具，以及涉及人身安全、危险性较大的矿山井下特种设备未按规定检测、检验合格，取得安全使用证或者安全标志，投入使用的处罚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执法一、二、三中队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85</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生产经营单位使用应当淘汰的危及生产安全的工艺、设备的处罚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执法一、二、三中队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86</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生产经营单位生产、经营、运输、储存、使用危险物品或者处置废弃危险物品，未建立专门安全管理制度、未采取可靠的安全措施的处罚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执法一、二、三中队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87</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生产经营单位对重大危险源未登记建档，或者未进行评估、登记、建档、监控，或者未制定应急预案的处罚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执法一、二、三中队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88</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危险化学品单位未在构成重大危险源的场所设置明显的安全警示标志的处罚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89</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危险化学品单位未对重大危险源中的设备、设施等进行定期检测、检验的处罚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90</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危险化学品单位未按照本规定对重大危险源的安全生产状况进行定期检查，采取措施消除事故隐患的处罚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91</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危险化学品单位未按照标准对重大危险源进行辨识的处罚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92</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危险化学品单位未按照本规定明确重大危险源中关键装置、重点部位的责任人或者责任机构的处罚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93</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危险化学品单位未按照本规定建立应急救援组织或者配备应急救援人员，以及配备必要的防护装备及器材、设备、物资，并保障其完好的处罚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94</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危险化学品单位未按照本规定进行重大危险源备案或者核销的处罚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95</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危险化学品单位未将重大危险源可能引发的事故后果、应急措施等信息告知可能受影响的单位、区域及人员的处罚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96</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危险化学品单位未按照本规定要求开展重大危险源事故应急预案演练的处罚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97</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生产经营单位进行爆破、吊装以及国务院安全生产监督管理部门会同国务院有关部门规定的其他危险作业，未安排专门人员进行现场安全管理的处罚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执法二中队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98</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生产、经营、使用国家禁止生产、经营、使用的危险化学品的；或违反国家关于危险化学品使用的限制性规定使用危险化学品的处罚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执法一、二、三中队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99</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危险化学品生产企业在安全生产许可证有效期内，其危险化学品建设项目安全设施竣工验收合格后，未按规定时限提出安全生产许可证变更申请并且擅自投入运行的处罚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100</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危险化学品生产企业未取得安全使用许可证，擅自使用危险化学品从事生产，且达到危险化学品使用量的数量标准规定的处罚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101</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危险化学品使用企业在安全使用许可证有效期内生产经营情况变更发生变更，未按照规定的时限提出安全使用许可证变更申请或者将隶属关系变更证明材料报发证机关的处罚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102</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未取得危险化学品经营许可证从事危险化学品经营的；或者在经营许可证有效期届满后，仍然从事危险化学品经营的处罚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103</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伪造、变造或者出租、出借、转让危险化学品经营许可证，或者使用伪造、变造的危险化学品经营许可证的处罚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104</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对已经取得危险化学品经营许可证的企业不再具备法律、法规和本办法规定的安全生产条件的处罚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105</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对已经取得危险化学品经营许可证的企业未按规定规定申请变更的处罚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106</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对对重复使用的危险化学品包装物、容器，在重复使用前不进行检查的处罚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107</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生产、储存、使用危险化学品的单位对重复使用的危险化学品包装物、容器，在重复使用前不进行检查的处罚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108</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生产、储存、使用危险化学品的单位未将危险化学品储存在专用仓库内，或者未将剧毒化学品以及储存数量构成重大危险源的其他危险化学品在专用仓库内单独存放的处罚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109</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生产、储存、使用危险化学品的单位未对其安全生产条件定期进行安全评价的处罚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110</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生产、储存、使用危险化学品的单位危险化学品的储存方式、方法或者储存数量不符合国家标准或者国家有关规定的处罚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111</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生产、储存、使用危险化学品的单位危险化学品专用仓库不符合国家标准、行业标准的要求的处罚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112</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危险化学品生产企业化学品安全技术说明书、化学品安全标签的使用不符合要求的处罚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113</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危险化学品经营企业经营没有化学品安全技术说明书和化学品安全标签的危险化学品的的处罚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114</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危险化学品包装物、容器的材质以及包装的型式、规格、方法和单件质量（重量）与所包装的危险化学品的性质和用途不相适应的处罚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115</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生产、储存危险化学品的单位未在作业场所设置通信、报警装置的处罚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116</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危险化学品专用仓库未设专人负责管理，或者对储存的剧毒化学品以及储存数量构成重大危险源的其他危险化学品未实行双人收发、双人保管制度的；危险化学品专用仓库未设置明显标志的处罚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117</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储存危险化学品的单位未建立危险化学品出入库核查、登记制度的处罚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118</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危险化学品生产企业、进口企业不办理危险化学品登记，或者发现其生产、进口的危险化学品有新的危险特性不办理危险化学品登记内容变更手续的处罚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119</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危险化学品生产企业、进口企业未向用户提供应急咨询服务或者应急咨询服务不符合《危险化学品登记管理办法》第二十二条规定的处罚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120</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危险化学品生产企业、进口企业在危险化学品登记证有效期内企业名称、注册地址、应急咨询服务电话发生变化，未按规定按时办理危险化学品登记变更手续的处罚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121</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危险化学品登记证有效期满后，未按规定申请复核换证，继续进行生产或者进口的处罚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122</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转让、冒用或者使用伪造的危险化学品登记证，或者不如实填报登记内容、提交有关材料的处罚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123</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拒绝、阻挠登记机构对本企业危险化学品登记情况进行现场核查的处罚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124</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生产、储存危险化学品的单位未对其铺设的危险化学品管道设置明显的标志，或者未对危险化学品管道定期检查、检测的处罚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125</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生产、储存危险化学品的单位进行可能危及危险化学品管道安全的施工作业，施工单位未按照规定书面通知管道所属单位，或者未与管道所属单位共同制定应急预案、采取相应的安全防护措施，或者管道所属单位未指派专门人员到现场进行管道安全保护指导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126</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新建、改建、扩建危险化学品管道建设项目未经安全条件审查的处罚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127</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危险化学品管道建设单位将管道建设项目发包给不具备相应资质等级的勘察、设计、施工单位或者委托给不具有相应资质等级的工程监理单位的处罚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128</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危险化学品管道使用单位对转产、停产、停止使用的危险化学品管道未采取有效措施及时、妥善处置的；或者未按规定将处置方案报告安监部门的处罚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129</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生产、储存危险化学品的企业或者使用危险化学品从事生产的企业未按规定将安全评价报告及整改方案的落实情况报安监部门备案；或者储存危险化学品的单位未将其剧毒化学品及储存数量构成重大危险源的其他危险化学品的储存情况报安监部门备案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130</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生产、储存、使用危险化学品的单位转产、停产、停业或者解散，未采取有效措施及时、妥善处置其危险化学品生产装置、储存设施以及库存的危险化学品或者丢弃危险化学品的处罚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131</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生产、储存、使用危险化学品的单位转产、停产、停业或者解散，未按规定将其危险化学品生产装置、储存设施以及库存危险化学品的处置方案报有关部门备案的处罚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132</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危险化学品经营企业向未经许可违法从事危险化学品生产、经营活动的企业采购危险化学品的吊销其危险化学品经营许可证的处罚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133</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危险化学品生产企业、经营企业向不具有相关许可证件或者证明文件的单位销售剧毒化学品、易制爆危险化学品的；不按照剧毒化学品购买许可证载明的品种、数量销售剧毒化学品的；向个人销售剧毒化学品（属于剧毒化学品的农药除外）、易制爆危险化学品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134</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危险化学品生产企业、经营企业不按照剧毒化学品购买许可证载明的品种、数量销售剧毒化学品的处罚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135</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危险化学品生产企业、经营企业向个人销售剧毒化学品（属于剧毒化学品的农药除外）、易制爆危险化学品的处罚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136</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对单位或者个人未经许可生产、经营烟花爆竹制品，或者向未取得烟花爆竹安全生产许可的单位或者个人销售黑火药、烟火药、引火线的处罚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执法二中队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137</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对生产经营单位或个人未经许可经营、超许可范围经营、许可证过期继续经营烟花爆竹的处罚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执法二中队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138</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对生产经营单位或个人冒用或者使用伪造的烟花爆竹经营许可证的处罚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执法二中队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139</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从事烟花爆竹批发的企业向从事烟花爆竹零售的经营者供应非法生产、经营的烟花爆竹，或者供应按照国家标准规定应由专业燃放人员燃放的烟花爆竹的处罚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执法二中队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140</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烟花爆竹批发企业在城市建成区内设立烟花爆竹储存仓库，或者在批发（展示）场所摆放有药样品的处罚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执法二中队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141</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烟花爆竹批发企业采购和销售质量不符合国家标准或者行业标准规定的烟花爆竹的处罚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执法二中队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142</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烟花爆竹批发企业对假冒伪劣、过期、含有超量、违禁药物以及其他存在严重质量问题的烟花爆竹未及时销毁的处罚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执法二中队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143</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烟花爆竹批发企业未执行合同管理、流向登记制度或者未按照规定应用烟花爆竹流向管理信息系统的；未将黑火药、引火线的采购、销售记录报安监部门备案的处罚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执法二中队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144</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烟花爆竹批发企业仓储设施新建、改建、扩建后，未重新申请办理许可手续的处罚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执法二中队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145</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烟花爆竹批发企业变更企业名称、主要负责人、注册地址，未申请办理许可证变更手续的处罚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执法二中队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146</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烟花爆竹批发企业向未取得零售许可证的单位或者个人销售烟花爆竹的处罚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执法二中队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147</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从事烟花爆竹零售的经营者销售非法生产、经营的烟花爆竹，或者销售按照国家标准规定应由专业燃放人员燃放的烟花爆竹的处罚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执法二中队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148</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零售经营者变更零售点名称、主要负责人或者经营场所，未重新办理零售许可证的；存放的烟花爆竹数量超过零售许可证载明范围的处罚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执法二中队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149</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零售经营者存放的烟花爆竹数量超过零售许可证载明范围的处罚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执法二中队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150</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烟花爆竹经营单位出租、出借、转让、买卖烟花爆竹经营许可证的处罚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执法二中队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151</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对生产经营单位矿山建设项目、生产、储存危险化学品建设项目、生产、储存烟花爆竹建设项目和金属冶炼建设项目以外的建设项目没有安全设施设计的处罚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执法二中队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152</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对生产经营单位矿山建设项目、生产、储存危险化学品建设项目、生产、储存烟花爆竹建设项目和金属冶炼建设项目以外的建设项目安全设施设计未组织审查，并形成书面审查报告的的处罚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执法二中队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153</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对生产经营单位矿山建设项目、生产、储存危险化学品建设项目、生产、储存烟花爆竹建设项目和金属冶炼建设项目以外的建设项目施工单位未按照安全设施设计施工的行为的处罚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执法二中队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154</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对生产经营单位矿山建设项目、生产、储存危险化学品建设项目、生产、储存烟花爆竹建设项目和金属冶炼建设项目以外的建设项目安全设施投入生产或者使用前,未经竣工验收合格，并形成书面报告的处罚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执法二中队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155</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化学品单位未按规定对化学品进行物理危险性鉴定或者分类的处罚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156</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化学品单位未按规定建立化学品物理危险性鉴定与分类管理档案的处罚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157</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化学品单位在办理化学品物理危险性的鉴定过程中，隐瞒化学品的危险性成分、含量等相关信息或者提供虚假材料的处罚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158</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化学品物理危险性鉴定机构在物理危险性鉴定过程中伪造、篡改数据或者有其他弄虚作假行为的</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159</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化学品物理危险性鉴定机构未通过安全生产监督管理部门的监督检查，仍从事鉴定工作的</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160</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化学品物理危险性鉴定机构泄露化学品单位商业秘密的</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161</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易制毒化学品生产、经营单位未按规定建立易制毒化学品的管理制度和安全管理制度的处罚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162</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易制毒化学品生产、经营单位将许可证或者备案证明转借他人使用的处罚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163</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易制毒化学品生产、经营单位超出许可的品种、数量生产、经营、购买易制毒化学品的处罚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164</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易制毒化学品生产、经营单位易制毒化学品的产品包装和使用说明书不符合《易制毒化学品管理条例》规定要求的处罚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165</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易制毒化学品生产、经营单位不如实或者不按时向有关行政主管部门和公安机关报告年度生产、经销和库存等情况的处罚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166</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非煤矿矿山地质勘探单位、采掘施工单位在登记注册地以外进行跨省作业，以及跨省（自治区、直辖市）运营的石油天然气管道管理的单位，未按照规定向作业所在地安全生产监督管理部门书面报告的处罚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执法二中队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167</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小型露天采石场应当未至少配备一名专业技术人员，或者聘用专业技术人员、注册安全工程师、委托相关技术服务机构为其提供安全生产管理服务的处罚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执法二中队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168</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相邻的采石场开采范围之间最小距离小于300米的；对可能危及对方生产安全的，双方未签订安全生产管理协议，明确各自的安全生产管理职责和应当采取的安全措施，指定专门人员进行安全检查与协调的处罚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执法二中队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169</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小型露天采石场未采用中深孔爆破方式，采用扩壶爆破、掏底崩落、掏挖开采和不分层的“一面墙”等开采方式的处罚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执法二中队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170</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小型露天采石场不具备实施中深孔爆破条件的，未由所在地安全生产监督管理部门聘请有关专家进行论证，经论证符合要求的，采用浅孔爆破开采的处罚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执法二中队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171</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小型露天采石场不采用爆破方式直接使用挖掘机进行采矿作业的，台阶高度超过挖掘机最大挖掘高度的处罚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执法二中队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172</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小型露天采石场不采用台阶式开采或自上而下分层顺序开采的处罚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执法二中队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173</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小型露天采石场分层开采的分层高度、最大开采高度和最终边坡角不符合设计规定的；浅孔爆破作业分层数超过6个，最大开采高度超过30米的；中深孔爆破作业时，分层高度超过20米，分层数超过3个，最大开采高度超过60米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执法二中队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174</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小型露天采石场分层开采的凿岩平台宽度不符合设计规定，最小凿岩平台宽度小于4米的处罚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执法二中队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175</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小型露天采石场分层开采的底部装运平台宽度不符合设计规定，不满足调车作业所需的最小平台宽度要求的处罚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执法二中队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176</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小型露天采石场由不具有相应资格的爆破作业人员进行爆破的；未设置爆破警戒范围，实行定时爆破制度的；在爆破警戒范围内避炮的；在雷雨、大雾、大风等恶劣天气条件下进行爆破作业的；雷电高发地区未选用非电起爆系统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执法二中队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177</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小型露天采石场对爆破后产生的大块矿岩未采用机械方式进行破碎，使用爆破方式进行二次破碎的处罚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执法二中队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178</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小型露天采石场上部需要剥离的，剥离工作面超前于开采工作面距离不足4米以上的处罚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执法二中队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179</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小型露天采石场在作业前和作业中以及每次爆破后，未对坡面进行安全检查的；发现工作面有裂痕，或者在坡面上有浮石、危石和伞檐体可能塌落时，未立即停止作业并撤离人员至安全地点，并采取安全措施和消除隐患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执法二中队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180</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小型露天采石场在坡面上进行排险作业时，作业人员未系安全带的；站在危石、浮石上及悬空作业的；在同一坡面上下双层或者多层同时作业的；距工作台阶坡底线50米范围内从事碎石加工作业的处罚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执法二中队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181</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小型露天采石场使用人工装运矿岩的；同一工作面有两台铲装机械作业时，最小间距应当小于铲装机械最大回转半径的2倍的；自卸汽车运载易燃、易爆物品的；超载运输的；装载与运输作业时，在驾驶室外侧、车斗内站人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执法二中队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182</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小型露天采石场废石、废碴未排放到废石场的；废石场的设置不符合设计要求和有关安全规定的；顺山或顺沟排放废石、废碴的，无防止泥石流的具体措施的处罚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执法二中队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183</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小型露天采石场电气设备无接地、过流、漏电保护装置的；变电所无独立的避雷系统和防火、防潮与防止小动物窜入带电部位的措施的处罚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执法二中队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184</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小型露天采石场未制定完善的防洪措施的；对开采境界上方汇水影响安全的，未设置截水沟的罚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执法二中队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185</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小型露天采石场未在每年年末测绘采石场开采现状平面图和剖面图，并归档管理的处罚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执法二中队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186</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非煤矿山外包工程发包单位与承包单位、总承包单位与分项承包单位未依照有关规定签订安全生产管理协议的处罚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执法二中队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187</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非煤矿山外包工程发包单位违反有关规定，未对承包单位实施安全生产监督检查或者考核的；金属非金属矿山分项发包单位违反有关规定，未将承包单位及其项目部纳入本单位的安全管理体系，实行统一管理的；发包单位违反有关规定，未向承包单位进行外包工程技术交底，或者未按照合同约定向承包单位提供有关资料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执法二中队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188</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地下矿山实行分项发包的发包单位在地下矿山正常生产期间，将主通风、主提升、供排水、供配电、主供风系统及其设备设施的运行管理进行分项发包的处罚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执法二中队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189</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承包地下矿山工程的项目部负责人违反规定同时兼任其他工程的项目部负责人的处罚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执法二中队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190</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非煤矿山外包工程承包单位违反规定将发包单位投入的安全资金挪作他用的；承包单位未按规定排查治理事故隐患的处罚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执法二中队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191</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非煤矿山外包工程承包单位不加强对所属项目部的安全管理，每半年</w:t>
            </w:r>
            <w:r>
              <w:rPr>
                <w:rFonts w:hint="eastAsia" w:ascii="SimSun" w:hAnsi="SimSun" w:cs="SimSun"/>
                <w:b w:val="0"/>
                <w:bCs w:val="0"/>
                <w:i w:val="0"/>
                <w:color w:val="000000"/>
                <w:kern w:val="0"/>
                <w:sz w:val="21"/>
                <w:szCs w:val="21"/>
                <w:u w:val="none"/>
                <w:lang w:val="en-US" w:eastAsia="zh-CN" w:bidi="ar"/>
              </w:rPr>
              <w:t>末</w:t>
            </w:r>
            <w:r>
              <w:rPr>
                <w:rFonts w:hint="eastAsia" w:ascii="SimSun" w:hAnsi="SimSun" w:eastAsia="SimSun" w:cs="SimSun"/>
                <w:b w:val="0"/>
                <w:bCs w:val="0"/>
                <w:i w:val="0"/>
                <w:color w:val="000000"/>
                <w:kern w:val="0"/>
                <w:sz w:val="21"/>
                <w:szCs w:val="21"/>
                <w:u w:val="none"/>
                <w:lang w:val="en-US" w:eastAsia="zh-CN" w:bidi="ar"/>
              </w:rPr>
              <w:t>至少进行一次安全生产检查，对项目部人员每年</w:t>
            </w:r>
            <w:r>
              <w:rPr>
                <w:rFonts w:hint="eastAsia" w:ascii="SimSun" w:hAnsi="SimSun" w:cs="SimSun"/>
                <w:b w:val="0"/>
                <w:bCs w:val="0"/>
                <w:i w:val="0"/>
                <w:color w:val="000000"/>
                <w:kern w:val="0"/>
                <w:sz w:val="21"/>
                <w:szCs w:val="21"/>
                <w:u w:val="none"/>
                <w:lang w:val="en-US" w:eastAsia="zh-CN" w:bidi="ar"/>
              </w:rPr>
              <w:t>末</w:t>
            </w:r>
            <w:bookmarkStart w:id="0" w:name="_GoBack"/>
            <w:bookmarkEnd w:id="0"/>
            <w:r>
              <w:rPr>
                <w:rFonts w:hint="eastAsia" w:ascii="SimSun" w:hAnsi="SimSun" w:eastAsia="SimSun" w:cs="SimSun"/>
                <w:b w:val="0"/>
                <w:bCs w:val="0"/>
                <w:i w:val="0"/>
                <w:color w:val="000000"/>
                <w:kern w:val="0"/>
                <w:sz w:val="21"/>
                <w:szCs w:val="21"/>
                <w:u w:val="none"/>
                <w:lang w:val="en-US" w:eastAsia="zh-CN" w:bidi="ar"/>
              </w:rPr>
              <w:t>至少进行一次安全生产教育培训与考核的；承包单位以转让、出租、出借资质证书等方式允许他人以本单位的名义承揽工程的处罚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执法二中队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192</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工贸企业未在有限空间作业场所设置明显的安全警示标志的处罚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执法三中队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193</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工贸企业未按照本规定对有限空间的现场负责人、监护人员、作业人员和应急救援人员进行安全培训的；未按照本规定对有限空间作业制定应急预案，或者定期进行演练的处罚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执法三中队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194</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工贸企业未按照本规定对有限空间作业进行辨识、提出防范措施、建立有限空间管理台账的；未按照本规定对有限空间作业制定作业方案或者方案未经审批擅自作业的；有限空间作业未按照本规定进行危险有害因素检测或者监测，并实行专人监护作业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执法三中队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195</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非煤矿矿山，生产或储存危险化学品，生产或储存烟花爆竹和金属冶炼以外的建设项目没有安全设施设计的；安全设施设计未组织审查，并形成书面审查报告的；施工单位未按照安全设施设计施工的；投入生产或者使用前，安全设施未经竣工验收合格，并形成书面报告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执法一、二、三中队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196</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未经注册擅自以注册安全工程师名义执业的处罚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执法四中队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197</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注册安全工程师以欺骗、贿赂等不正当手段取得执业证的处罚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执法四中队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198</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注册安全工程师准许他人以本人名义执业的；以个人名义承接业务、收取费用的；出租、出借、涂改、变造执业证和执业印章的；泄漏执业过程中应当保守的秘密并造成严重后果的；利用执业之便，贪污、索贿、受贿或者谋取不正当利益的；提供虚假执业活动成果的；超出执业范围或者聘用单位业务范围从事执业活动的；有法律、法规、规章规定的其他违法行为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执法四中队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199</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安全培训机构不具备安全培训条件的；未按照统一的培训大纲组织教学培训的；未建立培训档案或者培训档案管理不规范；或者采取不正当竞争手段，故意贬低、诋毁其他安全培训机构的处罚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执法四中队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200</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对生产经营单位转让安全生产许可证的处罚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执法一、二、三中队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201</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对未按照安全生产许可证核定的产品种类进行生产的、生产工序或者生产作业不符合有关国家标准行业标准的、雇佣未经设区的市人民政府安全生产监督管理部门考核合格的人员从事危险工序作业的、生产烟花爆竹使用的原料不符合国家标准规定的，或者使用的原料超过国家标准规定的用量限制的、使用按照国家标准规定禁止使用或者禁忌配伍的物质生产烟花爆竹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执法一、二、三中队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202</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对事故发生单位对事故发生负有责任的处罚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执法一、二、三中队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203</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对事故发生单位主要负责人未依法履行安全生产管理职责，导致事故发生的处罚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执法一、二、三中队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204</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对矿山建设工程的安全设施未经验收或者验收不合格擅自投入生产的处罚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执法二中队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205</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对建设单位将建设项目发包给不具备相应资质的施工单位施工的处罚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执法二中队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206</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对小型露天采石场新建、改建、扩建工程项目安全设施未按规定履行设计审查和竣工验收审批程序的处罚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执法二中队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207</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对矿山企业未对机电设备及其防护装置、安全检铡仪器定期检查、维修，未建立技术档案以及存在违章作业的处罚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执法二中队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208</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对烟花爆竹零售的经营者违法行为的处罚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执法二中队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209</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对违反易制毒化学品管理规定的处罚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210</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对生产经营单位从业人员未经安全培训考核合格、未如实记录安全生产教育和培训情况、无证上岗行为的处罚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执法一、二、三中队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211</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对承担安全评价、认证、检测、检验工作的机构出具虚假证明的处罚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执法四中队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212</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对危险化学品生产企业发现其生产的危险化学品有新的危险特性不立即公告，或者不及时修订其化学品安全技术说明书和化学品安全标签的处罚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213</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对生产、储存、使用危险化学品的单位未根据其生产、储存的危险化学品的种类和危险特性，在作业场所设置相关安全设施、设备，或者未按照国家标准、行业标准或者国家有关规定对安全设施、设备进行经常性维护、保养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214</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对生产、储存、使用危险化学品的单位未对危险化学品专用仓库的安全设施、设备定期进行检测、检验的处罚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215</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对生产、经营、储存、使用危险物品的车间、商店、仓库与员工宿舍在同一座建筑内，或者与员工宿舍的距离不符合安全要求的、生产经营场所和员工宿舍未设有符合紧急疏散需要、标志明显、保持畅通的出口，或者锁闭、封堵生产经营场所或者员工宿舍出口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216</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对生产经营单位不具备安全生产条件开展生产经营活动的处罚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217</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对生产经营单位未设置安全生产管理机构或者配备安全生产管理人员的处罚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执法一、二、三中队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218</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对生产经营单位未建立健全重大危险源管理制度，未采取安全措施的处罚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执法一、二、三中队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219</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对生产经营单位未及时排查治理事故隐患并如实记录排查、治理、评估、验收等内容的处罚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执法一、二、三中队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220</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对生产经营单位进行国家和行业部门认定的危险作业，违反本条例规定的处罚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执法一、二、三中队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221</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对 高危行业、领域的生产经营单位未按照国家规定投保安全生产责任保险的处罚</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执法一、二、三中队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222</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行政强制</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对不符合安全生产的国家标准或者行业标准的在用设施、设备、器材的查封或者扣押；对违法生产、储存、使用、经营、运输的危险物品及其作业场所的查封或者扣押；对易制毒化学品生产经营单位相关的证据材料、违法物品、有关场所的扣押和临时查封</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执法一、二、三中队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223</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行政强制</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对存在重大事故隐患的生产经营单位拒不执行安监部门停产停业、停止施工、停止使用相关设施或者设备的决定的行政强制</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执法一、二、三中队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224</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其他权力</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金属与非金属矿产资源地质勘探单位作业项目书面报告</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执法一、二、三中队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225</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其他权力</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非煤矿山外包工程书面报告</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执法二中队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226</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其他权力</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生产经营单位生产安全事故应急预案备案</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执法一、二、三中队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227</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其他权力</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危险化学品生产装置、储存设施以及库存危险化学品处置方案备案</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228</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其他权力</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剧毒化学品储存情况备案</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229</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其他权力</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生产、储存危险化学品企业安全评价报告及整改方案落实情况备案</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230</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其他权力</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危险化学品重大危险源备案</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231</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其他权力</w:t>
            </w:r>
          </w:p>
        </w:tc>
        <w:tc>
          <w:tcPr>
            <w:tcW w:w="4052" w:type="dxa"/>
            <w:noWrap w:val="0"/>
            <w:vAlign w:val="center"/>
          </w:tcPr>
          <w:p>
            <w:pPr>
              <w:keepNext w:val="0"/>
              <w:keepLines w:val="0"/>
              <w:widowControl/>
              <w:suppressLineNumbers w:val="0"/>
              <w:jc w:val="both"/>
              <w:textAlignment w:val="center"/>
              <w:rPr>
                <w:rFonts w:hint="eastAsia" w:ascii="SimSun" w:hAnsi="SimSun" w:eastAsia="SimSun" w:cs="SimSun"/>
                <w:b w:val="0"/>
                <w:bCs w:val="0"/>
                <w:i w:val="0"/>
                <w:color w:val="000000"/>
                <w:kern w:val="0"/>
                <w:sz w:val="21"/>
                <w:szCs w:val="21"/>
                <w:u w:val="none"/>
                <w:lang w:val="en-US" w:eastAsia="zh-CN" w:bidi="ar"/>
              </w:rPr>
            </w:pPr>
            <w:r>
              <w:rPr>
                <w:rFonts w:hint="eastAsia" w:ascii="SimSun" w:hAnsi="SimSun" w:eastAsia="SimSun" w:cs="SimSun"/>
                <w:b w:val="0"/>
                <w:bCs w:val="0"/>
                <w:i w:val="0"/>
                <w:color w:val="000000"/>
                <w:kern w:val="0"/>
                <w:sz w:val="21"/>
                <w:szCs w:val="21"/>
                <w:u w:val="none"/>
                <w:lang w:val="en-US" w:eastAsia="zh-CN" w:bidi="ar"/>
              </w:rPr>
              <w:t>第三类非药品类易制毒化学品经营备案证明</w:t>
            </w:r>
          </w:p>
        </w:tc>
        <w:tc>
          <w:tcPr>
            <w:tcW w:w="210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执法一中队</w:t>
            </w:r>
          </w:p>
        </w:tc>
        <w:tc>
          <w:tcPr>
            <w:tcW w:w="51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r>
    </w:tbl>
    <w:p/>
    <w:sectPr>
      <w:pgSz w:w="11906" w:h="16838"/>
      <w:pgMar w:top="1440" w:right="1587"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imSun">
    <w:panose1 w:val="02010600030101010101"/>
    <w:charset w:val="7A"/>
    <w:family w:val="auto"/>
    <w:pitch w:val="default"/>
    <w:sig w:usb0="00000003" w:usb1="288F0000" w:usb2="00000006" w:usb3="00000000" w:csb0="00040001" w:csb1="00000000"/>
  </w:font>
  <w:font w:name="FZXiaoBiaoSong-B05S">
    <w:panose1 w:val="03000509000000000000"/>
    <w:charset w:val="86"/>
    <w:family w:val="auto"/>
    <w:pitch w:val="default"/>
    <w:sig w:usb0="00000001" w:usb1="080E0000" w:usb2="00000000" w:usb3="00000000" w:csb0="00040000" w:csb1="00000000"/>
  </w:font>
  <w:font w:name="仿宋_GB2312">
    <w:altName w:val="FangSong"/>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1N2FkZDVkMjMyNjMxMjIxMGQwNTQxODMzMTNhNjQifQ=="/>
  </w:docVars>
  <w:rsids>
    <w:rsidRoot w:val="195F55DE"/>
    <w:rsid w:val="0AB17097"/>
    <w:rsid w:val="11EC0FF2"/>
    <w:rsid w:val="1347382D"/>
    <w:rsid w:val="151D59B2"/>
    <w:rsid w:val="195F55DE"/>
    <w:rsid w:val="1FA55DFC"/>
    <w:rsid w:val="210A56C3"/>
    <w:rsid w:val="24880AFD"/>
    <w:rsid w:val="2CC04EFA"/>
    <w:rsid w:val="2D223C99"/>
    <w:rsid w:val="2D400CCB"/>
    <w:rsid w:val="2DE417D9"/>
    <w:rsid w:val="326203B9"/>
    <w:rsid w:val="37BB437D"/>
    <w:rsid w:val="3AC41D77"/>
    <w:rsid w:val="3BAB2075"/>
    <w:rsid w:val="3C7939C7"/>
    <w:rsid w:val="52013E99"/>
    <w:rsid w:val="58920E5F"/>
    <w:rsid w:val="5B4C57D4"/>
    <w:rsid w:val="61D06D08"/>
    <w:rsid w:val="67A21691"/>
    <w:rsid w:val="6B0777A4"/>
    <w:rsid w:val="70535758"/>
    <w:rsid w:val="75E41876"/>
    <w:rsid w:val="77C5560F"/>
    <w:rsid w:val="79E91A91"/>
    <w:rsid w:val="7E6E0330"/>
    <w:rsid w:val="7F294B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SimSun"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unhideWhenUsed/>
    <w:qFormat/>
    <w:uiPriority w:val="99"/>
    <w:pPr>
      <w:ind w:left="420" w:leftChars="200"/>
    </w:pPr>
  </w:style>
  <w:style w:type="paragraph" w:styleId="3">
    <w:name w:val="Body Text First Indent 2"/>
    <w:basedOn w:val="1"/>
    <w:next w:val="1"/>
    <w:qFormat/>
    <w:uiPriority w:val="0"/>
    <w:pPr>
      <w:spacing w:after="120"/>
      <w:ind w:left="200" w:leftChars="200" w:firstLine="200"/>
    </w:pPr>
  </w:style>
  <w:style w:type="paragraph" w:customStyle="1" w:styleId="6">
    <w:name w:val="样式1"/>
    <w:basedOn w:val="1"/>
    <w:qFormat/>
    <w:uiPriority w:val="0"/>
    <w:pPr>
      <w:spacing w:line="320" w:lineRule="exact"/>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686</Words>
  <Characters>697</Characters>
  <Lines>0</Lines>
  <Paragraphs>0</Paragraphs>
  <TotalTime>0</TotalTime>
  <ScaleCrop>false</ScaleCrop>
  <LinksUpToDate>false</LinksUpToDate>
  <CharactersWithSpaces>697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2023-10-10T08:02:00Z</dcterms:created>
  <dc:creator>蓝星印务1</dc:creator>
  <cp:lastModifiedBy>吴晓丹</cp:lastModifiedBy>
  <dcterms:modified xsi:type="dcterms:W3CDTF">2023-10-12T03:06:38Z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849CD8AAB57042979FEFEEAF3FE4F246_13</vt:lpwstr>
  </property>
</Properties>
</file>