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区工业信息化和科技局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目  录</w:t>
      </w:r>
    </w:p>
    <w:tbl>
      <w:tblPr>
        <w:tblStyle w:val="3"/>
        <w:tblpPr w:leftFromText="180" w:rightFromText="180" w:vertAnchor="text" w:horzAnchor="page" w:tblpX="1581" w:tblpY="166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667"/>
        <w:gridCol w:w="148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对发卡企业或售卡企业未按规定发售大额单用途卡的，发卡企业和售卡企业未按国家有关规定开具发票的处罚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市场股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美容美发业行政处罚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流通</w:t>
            </w:r>
          </w:p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与信息化股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家庭服务业行政处罚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流通</w:t>
            </w:r>
          </w:p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与信息化股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单用途商业预付卡企业备案登记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总投资在5亿元（不含5亿元）以下的企业固定资产投资项目备案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行政审批股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山西省中小企业创业基地认定初审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运行信息股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山西省中小企业发展专项资金初审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运行信息股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加速壮大中小微企业的奖励初审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劳动密集型和科技型小微企业财政补助资金初审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国家中小企业发展专项资金初审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运城市中小微企业发展资金审核分配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中小企业统计调查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“3个1”经营者素质提升工程培训组织推荐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运行信息股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区级科技项目立项和管理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零售商促销行为备案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股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195F55DE"/>
    <w:rsid w:val="2D223C99"/>
    <w:rsid w:val="326203B9"/>
    <w:rsid w:val="3AC41D77"/>
    <w:rsid w:val="3BAB2075"/>
    <w:rsid w:val="3C7939C7"/>
    <w:rsid w:val="58920E5F"/>
    <w:rsid w:val="61D06D08"/>
    <w:rsid w:val="75E41876"/>
    <w:rsid w:val="77C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customStyle="1" w:styleId="5">
    <w:name w:val="样式1"/>
    <w:basedOn w:val="1"/>
    <w:qFormat/>
    <w:uiPriority w:val="0"/>
    <w:pPr>
      <w:spacing w:line="32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EEEC126A455842A99A0265BC893F79B2_13</vt:lpwstr>
  </property>
</Properties>
</file>