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区委宣传部</w:t>
      </w:r>
      <w:r>
        <w:rPr>
          <w:rFonts w:hint="eastAsia" w:ascii="方正小标宋简体" w:hAnsi="方正小标宋简体" w:eastAsia="方正小标宋简体" w:cs="方正小标宋简体"/>
          <w:color w:val="auto"/>
          <w:kern w:val="2"/>
          <w:sz w:val="36"/>
          <w:szCs w:val="36"/>
          <w:lang w:val="en-US" w:eastAsia="zh-CN" w:bidi="ar-SA"/>
        </w:rPr>
        <w:t>权责清单</w:t>
      </w:r>
      <w:bookmarkStart w:id="0" w:name="_GoBack"/>
      <w:bookmarkEnd w:id="0"/>
      <w:r>
        <w:rPr>
          <w:rFonts w:hint="eastAsia" w:ascii="方正小标宋简体" w:hAnsi="方正小标宋简体" w:eastAsia="方正小标宋简体" w:cs="方正小标宋简体"/>
          <w:color w:val="auto"/>
          <w:kern w:val="2"/>
          <w:sz w:val="36"/>
          <w:szCs w:val="36"/>
          <w:lang w:val="en-US" w:eastAsia="zh-CN" w:bidi="ar-SA"/>
        </w:rPr>
        <w:t>分解到内设机构事项目录</w:t>
      </w:r>
    </w:p>
    <w:p>
      <w:pPr>
        <w:pStyle w:val="2"/>
        <w:rPr>
          <w:rFonts w:hint="eastAsia"/>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210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052"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210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对举报“制黄”“贩黄”、侵权盗版和其他非法出版活动有功人员的奖励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出版物批发、零售单位设立不具备法人资格的发行分支机构，或者出版单位设立发行本版出版物的不具备法人资格的发行分支机构</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出版物零售单位、个体工商户从事网络发行业务备案</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从事农村16毫米点影片发行放映业务的单位或个人备案</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单位内部设立印刷厂登记</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地方志书、综合年鉴出版许可</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其他权力</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地方志书、综合年鉴冠名编纂许可</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出版物零售业务经营许可</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行政审批股</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95F55DE"/>
    <w:rsid w:val="3BAB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32F99BBE43A043188979F5DFF876041C_13</vt:lpwstr>
  </property>
</Properties>
</file>