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平常街文旅小镇“乡村e镇”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资金使用管理办法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  <w:t>第一章 总  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第一条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为规范加强平常街文旅小镇“乡村e镇”（以下简称“乡村e镇”）项目资金使用管理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，根据《中华人民共和国预算法》《省级财政乡村e镇资金管理办法》和《财政乡村e镇资金监管办法》等有关规定，结合实际工作，制定本办法。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第二条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 xml:space="preserve"> 本办法所称财政专项资金是指为适应经济社会改革与发展要求，完成乡村e镇培育目标，经省政府批准，由省级财政预算安排，在一定时期内具有专门用途和绩效目标的资金（以下简称“专项资金</w:t>
      </w:r>
      <w:r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第三条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 xml:space="preserve"> 专项资金的管理和使用遵循公开透明、绩效优先、统筹使用、分类审批原则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  <w:t>第二章 职责分工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Style w:val="9"/>
          <w:rFonts w:hint="default" w:ascii="仿宋" w:hAnsi="仿宋" w:eastAsia="仿宋" w:cs="仿宋"/>
          <w:b w:val="0"/>
          <w:bCs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第四条</w:t>
      </w:r>
      <w:r>
        <w:rPr>
          <w:rStyle w:val="9"/>
          <w:rFonts w:hint="eastAsia" w:ascii="仿宋" w:hAnsi="仿宋" w:eastAsia="仿宋" w:cs="仿宋"/>
          <w:b w:val="0"/>
          <w:bCs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区工科局作为项目主管部门，是专项资金的管理使用部门，负责专项资金的日常管理工作，主要职责如下：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）按照本办法规定的乡村e镇资金支持方向组织项目申报、评审，对项目的真实性、合规性、可行性进行审核，对乡村e镇资金实施项目库管理；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）对项目执行情况进行跟踪监管，对乡村e镇资金使用中的违规问题及时予以纠正；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）负责乡村e镇资金项目验收考评、绩效管理、信息公开。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负责职能范围内的其他工作事项。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第五条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区财政局是专项资金的统筹协调部门，负责专项资金的监管工作。主要职责如下：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）负责审核专项资金设立、调整、延期和撤销等事项；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）负责按国库集中支付的相关规定监督专项资金支付情况；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）负责监督专项资金使用情况，组织开展专项资金重点绩效评价；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）负责职能范围内的其他工作事项。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第六条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专项资金管理领导机构负责审核该专项资金的收支计划，组织制定管理办法，研究支出政策，核定专项资金的支持事项。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  <w:t>第三章 支持方向与范围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第七条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专项资金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满足以下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原则：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）支持电子商务创新发展。支持电子商务应用和生态体系建设；支持数字商务发展，助力企业网络化、数字化、智能化转型。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）完善公共服务，提升公共服务能力。支持商务平台建设， 发展平台经济；支持健全商务预警和监测体系，提高信息统计、法律、培训等公共服务能力。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第八条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专项资金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主要用于以下范围: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编制乡村e镇方案和发展规划；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电商服务中心。设立直播区、大数据显示区、形象展示区、前台服务区、洽谈接待区、宣传区域等；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电商培训中心。设立会议培训及多媒体培训室，配备投影仪、电脑等相应配套设施（面积不小于100㎡，每年跨境电商培训不少于200人次，国内电商培训不少于500人次）；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创客孵化中心（人才中心、产品研发）。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电商公共服务中心（面积不少于1000㎡，发挥综合协调服务功能），设立运营部(信息咨询、职业介绍、代买代卖、待发货物)、客服部（业务咨询、产品售后）。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打造多功能直播间、摄影室（开通国内电商；开通跨境电商；配备相应软件）。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电商产品展示中心（面积不少于100㎡，不高于300㎡；线上、线下建设产品展厅）。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乡村e镇物流配送中心(面积原则上不少于500㎡，进行产品包装升级；配备相应软件）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大数据中心、金融服务网点、通讯服务网点（相应硬件、软件）。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对接省内外优势电商产业和市场优质资源，建立和完善乡村e镇电商产业供应链。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发展壮大市场主体，引进培育电商龙头企业（电商龙头企业不少于5家）。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培育最具核心竞争力的特色产业（1—3个）。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打造区域公共品牌，创建一批“小而美”特色自主产品，开发适销网络产品（区域公共品牌1个，自主品牌5个，网络产品5款）。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14.举办区域公共品牌展会；线上线下区域公共品牌及产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品宣传；建立新媒体及传统媒体宣传渠道（每年举办不少于1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1次）。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举办创业创新技能大赛（每年举办不少于1次）。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培育一批具有示范带头效应电商带头人（聘请专家不少于5人，培育带头人不少于5人）。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培育本地网红，发挥网红效应（不少于5人）。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对注册和引进到乡村e镇的电子商务企业，特别是乡村e镇内业绩突出的电商企业给予奖励。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项目推进中实际发生的相关费用。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  <w:t>第四章 监督检查和法律责任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第九条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区财政局、区工科局应按照全面实施预算绩效管理的要求，按照下达的绩效目标组织预算执行，做好绩效监控和绩效评价，并加强结果应用，确保提高乡村e镇资金配置效率和使用效益。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第十条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区工科局应按照政府信息公开有关规定，除涉密项目或其他不予公开项目外，通过部门门户网站或其他媒体渠道向社会公开乡村e镇项目推进相关信息。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第十一条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乡村e镇资金依法接受纪检监察、审计、财政、主管部门等多部门协同监管。必要时可以委托专业机构或具有资质的社会机构开展乡村e镇资金监督检查工作。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第十二条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项目实施单位要对项目申报资料的真实性、项目资金使用和绩效负责；要严格执行财务制度、会计核算和乡村e镇资金管理办法有关规定，各项支出按照规定的使用范围和开支标准执行；要做好完整的项目资金相关材料的建档和保存工作，妥善保管申请和审核材料，以备核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第十三条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严格落实《财政部关于印发〈服务业发展资金管理办法&gt;的通知》（财建〔2019〕50号）和三部门文件规定，对省财政专项资金设置专账，专款专用。对弄虚作假、截留、挪用、挤占资金等行为，按《财政违法行为处罚处分条例》（国务院令第427号）的相关规定进行处理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22"/>
          <w:highlight w:val="none"/>
          <w:lang w:val="en-US" w:eastAsia="zh-CN" w:bidi="zh-CN"/>
        </w:rPr>
        <w:t>第五章 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第十四条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专项资金拨付程序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（一）专项资金应按照乡村e镇实施方案相关规定及项目建设合同条款进行拨付。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（二）项目建设过程中的资金拨付由承办企业按照相关规定向平常街“乡村e镇”电商工作领导小组提出申请，并报送相关资料。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（三）由平常街“乡村e镇”电商工作领导小组或第三方机构审核或验收后，提出资金拨付意见。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（四）由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财政部门或主管部门按资金拨付程序拨付资金。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  <w:r>
        <w:rPr>
          <w:rStyle w:val="9"/>
          <w:rFonts w:hint="eastAsia" w:ascii="楷体" w:hAnsi="楷体" w:eastAsia="楷体" w:cs="楷体"/>
          <w:b/>
          <w:snapToGrid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第十五条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本办法自发布之日起实施，由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  <w:t>平常街“乡村e镇”电商工作领导小组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  <w:t>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line="56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highlight w:val="none"/>
          <w:lang w:val="en-US" w:eastAsia="zh-CN"/>
        </w:rPr>
      </w:pPr>
    </w:p>
    <w:sectPr>
      <w:footerReference r:id="rId5" w:type="default"/>
      <w:type w:val="continuous"/>
      <w:pgSz w:w="12200" w:h="17160"/>
      <w:pgMar w:top="1440" w:right="1803" w:bottom="1440" w:left="1803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mZhNTIzNDgyZTM2MzhlNzcyMjQ5YTY0MWI5NzkifQ=="/>
  </w:docVars>
  <w:rsids>
    <w:rsidRoot w:val="00000000"/>
    <w:rsid w:val="073D520C"/>
    <w:rsid w:val="0AE42701"/>
    <w:rsid w:val="0D977119"/>
    <w:rsid w:val="0F490538"/>
    <w:rsid w:val="10FB295E"/>
    <w:rsid w:val="149D5AEC"/>
    <w:rsid w:val="16FE635B"/>
    <w:rsid w:val="1BDD6086"/>
    <w:rsid w:val="1EFD1033"/>
    <w:rsid w:val="1F9A064B"/>
    <w:rsid w:val="2197751D"/>
    <w:rsid w:val="25800787"/>
    <w:rsid w:val="281E746B"/>
    <w:rsid w:val="290061E9"/>
    <w:rsid w:val="307959D6"/>
    <w:rsid w:val="31F664E1"/>
    <w:rsid w:val="33B169AF"/>
    <w:rsid w:val="34523C9D"/>
    <w:rsid w:val="34FC06C9"/>
    <w:rsid w:val="35AD6EB7"/>
    <w:rsid w:val="36FC7AA1"/>
    <w:rsid w:val="37510857"/>
    <w:rsid w:val="38413CF6"/>
    <w:rsid w:val="38B05BBB"/>
    <w:rsid w:val="39CD3FCC"/>
    <w:rsid w:val="3A0035A6"/>
    <w:rsid w:val="3A6C2994"/>
    <w:rsid w:val="3CF8595E"/>
    <w:rsid w:val="3DF27EC3"/>
    <w:rsid w:val="40AD420F"/>
    <w:rsid w:val="435226EC"/>
    <w:rsid w:val="46483314"/>
    <w:rsid w:val="495723CC"/>
    <w:rsid w:val="4A413C1A"/>
    <w:rsid w:val="5168059D"/>
    <w:rsid w:val="547B561F"/>
    <w:rsid w:val="563B3C13"/>
    <w:rsid w:val="5A5E1ABC"/>
    <w:rsid w:val="5CD26B8F"/>
    <w:rsid w:val="5D2E480B"/>
    <w:rsid w:val="61DD6380"/>
    <w:rsid w:val="62620C26"/>
    <w:rsid w:val="64334484"/>
    <w:rsid w:val="65B8417D"/>
    <w:rsid w:val="68F4352E"/>
    <w:rsid w:val="69A66EAA"/>
    <w:rsid w:val="6FFF3C23"/>
    <w:rsid w:val="71AC01D6"/>
    <w:rsid w:val="73092135"/>
    <w:rsid w:val="73F92952"/>
    <w:rsid w:val="76B57A80"/>
    <w:rsid w:val="7855070D"/>
    <w:rsid w:val="79622B73"/>
    <w:rsid w:val="7A694C6B"/>
    <w:rsid w:val="7B3960C4"/>
    <w:rsid w:val="7BC2487A"/>
    <w:rsid w:val="7ECB62B3"/>
    <w:rsid w:val="7F11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2278</Words>
  <Characters>2328</Characters>
  <TotalTime>4</TotalTime>
  <ScaleCrop>false</ScaleCrop>
  <LinksUpToDate>false</LinksUpToDate>
  <CharactersWithSpaces>2358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2022-06-29T10:24:00Z</dcterms:created>
  <dc:creator>Kingsoft-PDF</dc:creator>
  <cp:keywords>62bbb7c91d1b04001588da24</cp:keywords>
  <cp:lastModifiedBy>Administrator</cp:lastModifiedBy>
  <dcterms:modified xsi:type="dcterms:W3CDTF">2023-02-21T10:40:51Z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2022-06-29T10:24:31Z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7516F0DECCEB4C5FAC46EFAF36102D31</vt:lpwstr>
  </property>
</Properties>
</file>