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运城市盐湖区治理非法超限超载车辆协调中心202</w:t>
      </w:r>
      <w:r>
        <w:rPr>
          <w:rFonts w:hint="eastAsia" w:ascii="华文中宋" w:hAnsi="华文中宋" w:eastAsia="华文中宋" w:cs="华文中宋"/>
          <w:sz w:val="44"/>
          <w:szCs w:val="44"/>
          <w:lang w:val="en-US" w:eastAsia="zh-CN"/>
        </w:rPr>
        <w:t>1</w:t>
      </w:r>
      <w:r>
        <w:rPr>
          <w:rFonts w:hint="eastAsia" w:ascii="华文中宋" w:hAnsi="华文中宋" w:eastAsia="华文中宋" w:cs="华文中宋"/>
          <w:sz w:val="44"/>
          <w:szCs w:val="44"/>
        </w:rPr>
        <w:t>年度部门决算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第一部分  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一、本部门职责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二、机构设置情况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第二部分  2021 年度部门决算报表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一、收入支出决算总表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二、收入决算表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三、支出决算表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五、一般公共预算财政拨款支出决算表(一)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六、一般公共预算财政拨款支出决算表(二)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十、部门决算公开相关信息统计表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第三部分  2021 年度部门决算情况说明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二、收入决算情况说明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八、其他重要事项情况说明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第五部分  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第一部分  概况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一、本部门职责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区治超协调中心作为区政府治超领导组的办事机构、治超工作的日常组织部门，具体职责如下：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1、贯彻落实上级治超机构的工作部署要求，组织、指导、协调、督促治超领导组相关成员单位按职责分工开展本部门治超工作；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2、开展相关的法律、法规政策的宣传、普及工作，并对相关部门的落实情况进行检查；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3、受理涉及治超工作的举报和投诉，督促相关部门办理上级交办和有关单位移送、抄送的治超案件；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4、组建和组织流动稽查队在本辖区路段开展流动稽查工作；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5、鼓励和推广应用科技治超措施；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6、组织开展责任倒查工作提出处理建议等。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7、定期召开联席会议，通报情况，解决源头治超和路面管控中存在的突出问题。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二、机构设置情况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运城市盐湖区治理非法超限超载车辆协调中心机构设置： 业务室，现有工作人员2人，职能为组织、指导、协调、督促治超领导组相关成员单位按职责分工开展本部门治超工作；办公室，职能为保障本单位日常业务工作正常开展，服务业务室，现有工作人员1人。单位共有事业单位工作人员 3 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第二部分  2021 年度部门决算报表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一、收入支出决算总表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二、收入决算表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三、支出决算表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五、一般公共预算财政拨款支出决算表(一)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六、一般公共预算财政拨款支出决算表(二)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十、部门决算公开相关信息统计表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第三部分  2021 年度部门决算情况说明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 年度收入总计 106.29 万元、支出总计106.29 万元。 与2020年相比，收入总计增加7.41万元，提升7.50%，支出总计增加23.21万元，提升17.94%。主要原因是业务经费减加。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二、收入决算情况说明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 年度收入合计 106.29 万元，其中：财政拨款收入106.29万元，占比100%；上级补助收入0万元， 占比 0%；事 业收入 0 万元，占比 0%；经营收入0万元，占比0%；附属单位上缴收入0万元，占比 0%；其他收入0万元，占比0%。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2021年度支出合计106.29万元，其中：基本支出25.17万元，占比23.68%；项目支出81.12万元，占比76.32%；上缴上级支出0万元，占比0%，经营支出0万元，占比0%,对附属单位补助支出0万元，占比 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 年度财政拨款 收入总计 106.29 万元 、支出总计106.29万元。与2020年相比，财政拨款收入总计增加 7.41万元，提升7.50%，财政拨款支出总计增加23.21万元，提升17.94%。主要原因是业务经费减加。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 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 年度财政拨款支出106.29 万元，占本年支出合计的100%。与2020年相比，财政拨款支出增加 23.21万元，提升17.94%。主要原因是业务经费增加。其中，人员经费 24.37万元，占比 22.93%，日常公用经费 91.92万元，占比77.07%。</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 财政拨款支出决算结构情况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 年度财政拨款支出106.29万元，主要用于以下方面： 社会保障和就业(类)支出2.69万元，占2.53%；卫生健康 (类)支出1.07万元，占1.01%；交通运输(类)支出 100.85万元，占94.88%；住房保障(类)支出1.68万元，占 1.58%；</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 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2021年度财政拨款支出年初预算106.29万元，支出决算106.29万元，完成年初预算的100% 。其中：社会保障和就业支出年初预算 2.69万元，支出决算2.69万元，完成年初预算的100%，用于各项保险开支。较2020年决算增加0万元，提升0%，主要原因人员无变动。卫生健康支出年初预算1.07万元，支出决算1.07万元，完成年初预算的100%，用于单位疫情防控。较2020年决算增加0.11万元，提升 11.37%，主要原因人员数量增加。交通运输支出年初预算 100.85万元，支出决算100.85万元完成年初预算的 100%，用于单位正常运转。较 2020年决算增加 23.39万元，提升30.19%，主要原因项目资金增加。住房保障支出年初预算 1.68万元，支出决算1.68万元，完成年初预算的100%，用于人员住房公积金。较2020年决算减少 0.29万元，减少 14.56%，主要原因单位人员结构发生变化。有一人因工作变动，单位人员由4人减少为3人。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2021年度财政拨款基本支出25.17万元，其中：人员经费24.37万元，主要包括人员工资、社会保险；公用经费0.80 万元，主要包括单位日常运转经费及维护经费。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七、一般公共预算财政拨款“三公”经费支出决算情况说明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(一)“三公”经费财政拨款支出决算总体情况说明。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2021年度“三公”经费财政拨款支出预算2.00万元，支 出决算3.22万元，完成预算的 0%，比2020年减少6.91 万元，降低 68.23%，主要原因是：公车使用率下降。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(二)“三公”经费财政拨款支出决算具体情况说明。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2021年度三公经费支出3.22万元，其中: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1、2021年度因公出国（境）费年初预算0万元，支出决算0万元0团组0人次，比2020年减少0万元，下降0%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公务用车购置及运行费年初预算3.22万元，支出决算3.22万元。其中公务用车购置年初预算0万元，支出决算0万元，比2020年减少0万元，下降0%。公务用车运行费年初预算3.22万元，支出决算3.22万元，比2020年减少6.91万元， 降低68.23%，主要原因是：公车使用率下降。本年度公务用车购置0辆，公车保有量2辆。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3、2021年度公务接待费年初预算0万元，支出决算0万元，国内公务接待0批次0人数，比2020年减少0万元，下降0%。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八、其他重要事项情况说明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 机关运行经费支出情况说明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本单位无机关运行经费。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 政府采购情况说明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2021年度政府采购支出总额18.80万元，其中：政府采购 货物支出18.80万元、政府采购工程支出0万元、政府采购服务支出0万元。政府采购授予中小企业合同金额0万元，占政府采购支出总额的 0%。其中：授予小微企业合同金额0万元，占政府采购支出总额的0%.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 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 2021年12月31日，本部门共有车辆2辆。其中， 副部(省)级及以上领导用车0辆、主要领导干部用车0辆、机要通信用车0辆、应急保障用车0辆、执法执勤用车 2 辆、特种专业技术用车0辆、离退休干部用车0辆、其他用车0 辆，其他用车主要是一般公务用车0辆；单价50万元(含)以上的通用设备0台(套)，单价100万元(含) 以上专用设备 0 台(套)。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 预算绩效情况说明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本单位2021年度无绩效评价项目。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 其他需要说明的事项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无其他需要说明的事项。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 财政拨款收入</w:t>
      </w:r>
      <w:r>
        <w:rPr>
          <w:rFonts w:hint="eastAsia" w:ascii="仿宋" w:hAnsi="仿宋" w:eastAsia="仿宋" w:cs="仿宋"/>
          <w:sz w:val="32"/>
          <w:szCs w:val="32"/>
        </w:rPr>
        <w:t>：指单位从同级财政部门取得的财政预算资金。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 事业收入：</w:t>
      </w:r>
      <w:r>
        <w:rPr>
          <w:rFonts w:hint="eastAsia" w:ascii="仿宋" w:hAnsi="仿宋" w:eastAsia="仿宋" w:cs="仿宋"/>
          <w:sz w:val="32"/>
          <w:szCs w:val="32"/>
        </w:rPr>
        <w:t>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 经营收入：</w:t>
      </w:r>
      <w:r>
        <w:rPr>
          <w:rFonts w:hint="eastAsia" w:ascii="仿宋" w:hAnsi="仿宋" w:eastAsia="仿宋" w:cs="仿宋"/>
          <w:sz w:val="32"/>
          <w:szCs w:val="32"/>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四、 其他收入：</w:t>
      </w:r>
      <w:r>
        <w:rPr>
          <w:rFonts w:hint="eastAsia" w:ascii="仿宋" w:hAnsi="仿宋" w:eastAsia="仿宋" w:cs="仿宋"/>
          <w:sz w:val="32"/>
          <w:szCs w:val="32"/>
        </w:rPr>
        <w:t>指单位取得的除上述收入以外的各项收入。主要是事业单位固定资产出租收入、存款利息收入等。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五、使用非财政拨款结余</w:t>
      </w:r>
      <w:r>
        <w:rPr>
          <w:rFonts w:hint="eastAsia" w:ascii="仿宋" w:hAnsi="仿宋" w:eastAsia="仿宋" w:cs="仿宋"/>
          <w:sz w:val="32"/>
          <w:szCs w:val="32"/>
        </w:rPr>
        <w:t>：指事业单位使用以前年度积累 的非财政拨款结余弥补当年收支差额的金额。</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六、 年初结转和结余</w:t>
      </w:r>
      <w:r>
        <w:rPr>
          <w:rFonts w:hint="eastAsia" w:ascii="仿宋" w:hAnsi="仿宋" w:eastAsia="仿宋" w:cs="仿宋"/>
          <w:sz w:val="32"/>
          <w:szCs w:val="32"/>
        </w:rPr>
        <w:t>：指单位以前年度尚未完成、结转到本年仍按原规定用途继续使用的资金，或项目已完成等产生的结余资金。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七、 结余分配</w:t>
      </w:r>
      <w:r>
        <w:rPr>
          <w:rFonts w:hint="eastAsia" w:ascii="仿宋" w:hAnsi="仿宋" w:eastAsia="仿宋" w:cs="仿宋"/>
          <w:sz w:val="32"/>
          <w:szCs w:val="32"/>
        </w:rPr>
        <w:t>：指事业单位按照会计制度规定缴纳的所得税、提取的专用结余以及转入非财政拨款结余的金额等。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八、 年末结转和结余</w:t>
      </w:r>
      <w:r>
        <w:rPr>
          <w:rFonts w:hint="eastAsia" w:ascii="仿宋" w:hAnsi="仿宋" w:eastAsia="仿宋" w:cs="仿宋"/>
          <w:sz w:val="32"/>
          <w:szCs w:val="32"/>
        </w:rPr>
        <w:t>：指单位按有关规定结转到下年或以 后年度继续使用的资金，或项目已完成等产生的结余资金。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九、 基本支出：</w:t>
      </w:r>
      <w:r>
        <w:rPr>
          <w:rFonts w:hint="eastAsia" w:ascii="仿宋" w:hAnsi="仿宋" w:eastAsia="仿宋" w:cs="仿宋"/>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十</w:t>
      </w:r>
      <w:r>
        <w:rPr>
          <w:rFonts w:hint="eastAsia" w:ascii="仿宋" w:hAnsi="仿宋" w:eastAsia="仿宋" w:cs="仿宋"/>
          <w:b/>
          <w:bCs/>
          <w:sz w:val="32"/>
          <w:szCs w:val="32"/>
        </w:rPr>
        <w:t>、项目支出</w:t>
      </w:r>
      <w:r>
        <w:rPr>
          <w:rFonts w:hint="eastAsia" w:ascii="仿宋" w:hAnsi="仿宋" w:eastAsia="仿宋" w:cs="仿宋"/>
          <w:sz w:val="32"/>
          <w:szCs w:val="32"/>
        </w:rPr>
        <w:t>：指在基本支出之外为完成特定行政任务和 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十一</w:t>
      </w:r>
      <w:r>
        <w:rPr>
          <w:rFonts w:hint="eastAsia" w:ascii="仿宋" w:hAnsi="仿宋" w:eastAsia="仿宋" w:cs="仿宋"/>
          <w:b/>
          <w:bCs/>
          <w:sz w:val="32"/>
          <w:szCs w:val="32"/>
        </w:rPr>
        <w:t>、“三公”经费</w:t>
      </w:r>
      <w:r>
        <w:rPr>
          <w:rFonts w:hint="eastAsia" w:ascii="仿宋" w:hAnsi="仿宋" w:eastAsia="仿宋" w:cs="仿宋"/>
          <w:sz w:val="32"/>
          <w:szCs w:val="32"/>
        </w:rPr>
        <w:t>：指部门用一般公共预算安排的因公出国(境)费、公务用车购置及运行费和公务接待费。其中， 因公出国(境)费反映单位公务出国(境)的国际旅费、国外 城市间交通费、住宿费、伙食费、培训费、公杂费等支出；公 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十二</w:t>
      </w:r>
      <w:r>
        <w:rPr>
          <w:rFonts w:hint="eastAsia" w:ascii="仿宋" w:hAnsi="仿宋" w:eastAsia="仿宋" w:cs="仿宋"/>
          <w:b/>
          <w:bCs/>
          <w:sz w:val="32"/>
          <w:szCs w:val="32"/>
        </w:rPr>
        <w:t>、机关运行经费：</w:t>
      </w:r>
      <w:r>
        <w:rPr>
          <w:rFonts w:hint="eastAsia" w:ascii="仿宋" w:hAnsi="仿宋" w:eastAsia="仿宋" w:cs="仿宋"/>
          <w:sz w:val="32"/>
          <w:szCs w:val="32"/>
        </w:rPr>
        <w:t>指行政单位和参照公务员法管理的事业单位使用一般公共预算安排的基本支出中的日常公用经费支出。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第五部分  附件</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ZGNlYTMyMTZhYzE5OWM0MTk3N2E1YTMxOWIxZjAifQ=="/>
  </w:docVars>
  <w:rsids>
    <w:rsidRoot w:val="642B32BC"/>
    <w:rsid w:val="3F9C0699"/>
    <w:rsid w:val="414D66CB"/>
    <w:rsid w:val="4FA374EC"/>
    <w:rsid w:val="5E19084D"/>
    <w:rsid w:val="642B3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3512</Words>
  <Characters>3923</Characters>
  <Lines>0</Lines>
  <Paragraphs>0</Paragraphs>
  <TotalTime>21</TotalTime>
  <ScaleCrop>false</ScaleCrop>
  <LinksUpToDate>false</LinksUpToDate>
  <CharactersWithSpaces>4033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2022-09-12T09:34:00Z</dcterms:created>
  <dc:creator>Administrator</dc:creator>
  <cp:lastModifiedBy>M</cp:lastModifiedBy>
  <dcterms:modified xsi:type="dcterms:W3CDTF">2022-09-14T02:43:34Z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6EC1900C134C46BB8D968195C6CDF5E9</vt:lpwstr>
  </property>
</Properties>
</file>