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650" w:lineRule="exact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adjustRightInd w:val="0"/>
        <w:snapToGrid w:val="0"/>
        <w:spacing w:line="650" w:lineRule="exact"/>
        <w:jc w:val="center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32"/>
          <w:szCs w:val="32"/>
        </w:rPr>
        <w:t>政府信息公开情况统计表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2018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年度）</w:t>
      </w:r>
    </w:p>
    <w:p>
      <w:pPr>
        <w:widowControl/>
        <w:shd w:val="clear" w:color="auto" w:fill="FFFFFF"/>
        <w:adjustRightInd w:val="0"/>
        <w:snapToGrid w:val="0"/>
        <w:spacing w:line="650" w:lineRule="exact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24"/>
          <w:szCs w:val="24"/>
        </w:rPr>
        <w:t>填报单位（盖章）：</w:t>
      </w:r>
      <w:r>
        <w:rPr>
          <w:rFonts w:hint="eastAsia" w:ascii="仿宋_GB2312" w:hAnsi="宋体" w:eastAsia="仿宋_GB2312" w:cs="宋体"/>
          <w:color w:val="333333"/>
          <w:kern w:val="0"/>
          <w:sz w:val="24"/>
          <w:szCs w:val="24"/>
          <w:lang w:eastAsia="zh-CN"/>
        </w:rPr>
        <w:t>运城市盐湖区人民政府办公室</w:t>
      </w:r>
    </w:p>
    <w:tbl>
      <w:tblPr>
        <w:tblStyle w:val="3"/>
        <w:tblW w:w="9450" w:type="dxa"/>
        <w:jc w:val="center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0"/>
        <w:gridCol w:w="1005"/>
        <w:gridCol w:w="1035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统　计　指　标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42" w:hRule="atLeast"/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一、主动公开情况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——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（一）主动公开政府信息数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　　（不同渠道和方式公开相同信息计1条）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条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ind w:firstLine="240" w:firstLineChars="100"/>
              <w:jc w:val="both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3740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　　　　其中：主动公开规范性文件数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条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　　　　　　　制发规范性文件总数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（二）通过不同渠道和方式公开政府信息的情况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——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　　　1.政府公报公开政府信息数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条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　　　2.政府网站公开政府信息数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条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3700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　　　3.政务微博公开政府信息数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条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　　　4.政务微信公开政府信息数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条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2074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　　　5.其他方式公开政府信息数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条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二、回应解读情况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——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（一）回应公众关注热点或重大舆情数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　　 （不同方式回应同一热点或舆情计1次）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次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（二）通过不同渠道和方式回应解读的情况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——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　　　1.参加或举办新闻发布会总次数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次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　　　　 其中：主要负责同志参加新闻发布会次数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次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　　　2.政府网站在线访谈次数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次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　　　　 其中：主要负责同志参加政府网站在线访谈次数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次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　　　3.政策解读稿件发布数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篇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190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　　　4.微博微信回应事件数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次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　　　5.其他方式回应事件数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次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三、依申请公开情况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——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（一）收到申请数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　　　1.当面申请数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　　　2.传真申请数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　　　3.网络申请数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　　　4.信函申请数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（二）申请办结数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　　　1.按时办结数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　　　2.延期办结数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（三）申请答复数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　　　1.属于已主动公开范围数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　　　2.同意公开答复数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　　　3.同意部分公开答复数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　　　4.不同意公开答复数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　　　 　其中：涉及国家秘密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　　　　　　　 涉及商业秘密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　　　　　　　 涉及个人隐私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　　　　　　　 危及国家安全、公共安全、经济安全和社会稳定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　　　　　　　 不是《条例》所指政府信息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　　　　　　　 法律法规规定的其他情形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　　　5.不属于本行政机关公开数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　　　6.申请信息不存在数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　　　7.告知作出更改补充数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　　　8.告知通过其他途径办理数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四、行政复议数量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（一）维持具体行政行为数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（二）被依法纠错数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（三）其他情形数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五、行政诉讼数量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（一）维持具体行政行为或者驳回原告诉讼请求数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（二）被依法纠错数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（三）其他情形数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六、举报投诉数量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七、依申请公开信息收取的费用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万元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八、机构建设和保障经费情况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——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（一）政府信息公开工作专门机构数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个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（二）设置政府信息公开查阅点数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个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（三）从事政府信息公开工作人员数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　　　1.专职人员数（不包括政府公报及政府网站工作人员数）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　　　2.兼职人员数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（四）政府信息公开专项经费（不包括用于政府公报编辑管理及政府网站建设维护等方面的经费）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万元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4.5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九、政府信息公开会议和培训情况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——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（一）召开政府信息公开工作会议或专题会议数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次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（二）举办各类培训班数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次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　　（三）接受培训人员数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人次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5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val="en-US" w:eastAsia="zh-CN"/>
              </w:rPr>
              <w:t>8</w:t>
            </w:r>
          </w:p>
        </w:tc>
      </w:tr>
    </w:tbl>
    <w:p>
      <w:pPr>
        <w:widowControl/>
        <w:shd w:val="clear" w:color="auto" w:fill="FFFFFF"/>
        <w:adjustRightInd w:val="0"/>
        <w:snapToGrid w:val="0"/>
        <w:spacing w:line="650" w:lineRule="exact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24"/>
          <w:szCs w:val="24"/>
        </w:rPr>
        <w:t xml:space="preserve">单位负责人：　         </w:t>
      </w:r>
      <w:r>
        <w:rPr>
          <w:rFonts w:hint="eastAsia" w:ascii="仿宋_GB2312" w:hAnsi="宋体" w:eastAsia="仿宋_GB2312" w:cs="宋体"/>
          <w:color w:val="333333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333333"/>
          <w:kern w:val="0"/>
          <w:sz w:val="24"/>
          <w:szCs w:val="24"/>
        </w:rPr>
        <w:t xml:space="preserve">    审核人：</w:t>
      </w:r>
      <w:r>
        <w:rPr>
          <w:rFonts w:hint="eastAsia" w:ascii="仿宋_GB2312" w:hAnsi="宋体" w:eastAsia="仿宋_GB2312" w:cs="宋体"/>
          <w:color w:val="333333"/>
          <w:kern w:val="0"/>
          <w:sz w:val="24"/>
          <w:szCs w:val="24"/>
          <w:lang w:val="en-US" w:eastAsia="zh-CN"/>
        </w:rPr>
        <w:t xml:space="preserve">                   </w:t>
      </w:r>
      <w:r>
        <w:rPr>
          <w:rFonts w:hint="eastAsia" w:ascii="仿宋_GB2312" w:hAnsi="宋体" w:eastAsia="仿宋_GB2312" w:cs="宋体"/>
          <w:color w:val="333333"/>
          <w:kern w:val="0"/>
          <w:sz w:val="24"/>
          <w:szCs w:val="24"/>
        </w:rPr>
        <w:t>填报人：</w:t>
      </w:r>
      <w:r>
        <w:rPr>
          <w:rFonts w:hint="eastAsia" w:ascii="仿宋_GB2312" w:hAnsi="宋体" w:eastAsia="仿宋_GB2312" w:cs="宋体"/>
          <w:color w:val="333333"/>
          <w:kern w:val="0"/>
          <w:sz w:val="24"/>
          <w:szCs w:val="24"/>
        </w:rPr>
        <w:br w:type="textWrapping"/>
      </w:r>
      <w:r>
        <w:rPr>
          <w:rFonts w:hint="eastAsia" w:ascii="仿宋_GB2312" w:hAnsi="宋体" w:eastAsia="仿宋_GB2312" w:cs="宋体"/>
          <w:color w:val="333333"/>
          <w:kern w:val="0"/>
          <w:sz w:val="24"/>
          <w:szCs w:val="24"/>
        </w:rPr>
        <w:t>联系电话：</w:t>
      </w:r>
      <w:r>
        <w:rPr>
          <w:rFonts w:hint="eastAsia" w:ascii="仿宋_GB2312" w:hAnsi="宋体" w:eastAsia="仿宋_GB2312" w:cs="宋体"/>
          <w:color w:val="333333"/>
          <w:kern w:val="0"/>
          <w:sz w:val="24"/>
          <w:szCs w:val="24"/>
          <w:lang w:val="en-US" w:eastAsia="zh-CN"/>
        </w:rPr>
        <w:t>0359-2360036</w:t>
      </w:r>
      <w:r>
        <w:rPr>
          <w:rFonts w:hint="eastAsia" w:ascii="仿宋_GB2312" w:hAnsi="宋体" w:eastAsia="仿宋_GB2312" w:cs="宋体"/>
          <w:color w:val="333333"/>
          <w:kern w:val="0"/>
          <w:sz w:val="24"/>
          <w:szCs w:val="24"/>
        </w:rPr>
        <w:t xml:space="preserve">　　　            </w:t>
      </w:r>
      <w:r>
        <w:rPr>
          <w:rFonts w:hint="eastAsia" w:ascii="仿宋_GB2312" w:hAnsi="宋体" w:eastAsia="仿宋_GB2312" w:cs="宋体"/>
          <w:color w:val="333333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333333"/>
          <w:kern w:val="0"/>
          <w:sz w:val="24"/>
          <w:szCs w:val="24"/>
        </w:rPr>
        <w:t xml:space="preserve"> 填</w:t>
      </w:r>
      <w:bookmarkStart w:id="0" w:name="_GoBack"/>
      <w:bookmarkEnd w:id="0"/>
      <w:r>
        <w:rPr>
          <w:rFonts w:hint="eastAsia" w:ascii="仿宋_GB2312" w:hAnsi="宋体" w:eastAsia="仿宋_GB2312" w:cs="宋体"/>
          <w:color w:val="333333"/>
          <w:kern w:val="0"/>
          <w:sz w:val="24"/>
          <w:szCs w:val="24"/>
        </w:rPr>
        <w:t>报日期：</w:t>
      </w:r>
      <w:r>
        <w:rPr>
          <w:rFonts w:hint="eastAsia" w:ascii="仿宋_GB2312" w:hAnsi="宋体" w:eastAsia="仿宋_GB2312" w:cs="宋体"/>
          <w:color w:val="333333"/>
          <w:kern w:val="0"/>
          <w:sz w:val="24"/>
          <w:szCs w:val="24"/>
          <w:lang w:val="en-US" w:eastAsia="zh-CN"/>
        </w:rPr>
        <w:t>2019年2月26日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577FB"/>
    <w:rsid w:val="1CE1760E"/>
    <w:rsid w:val="216933D5"/>
    <w:rsid w:val="48A577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2019-02-26T02:20:00Z</dcterms:created>
  <dc:creator>Administrator</dc:creator>
  <cp:lastModifiedBy>Administrator</cp:lastModifiedBy>
  <cp:lastPrinted>2019-03-21T07:38:57Z</cp:lastPrinted>
  <dcterms:modified xsi:type="dcterms:W3CDTF">2019-03-21T07:42:22Z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