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盐湖区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2020年政府信息公开工作年度报告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中华人民共和国政府信息公开条例》(国务院令第711号，以下简称《条例》）和国务院办公厅政府信息与政务公开办公室《关于政府信息公开工作年度报告有关事项的通知》（国办公开办函〔2019〕60号）要求，现公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盐湖区</w:t>
      </w:r>
      <w:r>
        <w:rPr>
          <w:rFonts w:hint="eastAsia" w:ascii="仿宋" w:hAnsi="仿宋" w:eastAsia="仿宋" w:cs="仿宋"/>
          <w:sz w:val="32"/>
          <w:szCs w:val="32"/>
        </w:rPr>
        <w:t>人民政府2020年政府信息公开工作年度报告。本报告由总体情况、主动公开政府信息情况、收到和处理政府信息公开申请情况、政府信息公开行政复议及行政诉讼情况、存在的主要问题及改进情况、其他需要报告的事项等六部分组成，所列数据统计时限为2020年1月1日至2020年12月31日。本报告的电子版可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盐湖区人民政府网站</w:t>
      </w:r>
      <w:r>
        <w:rPr>
          <w:rFonts w:hint="eastAsia" w:ascii="仿宋" w:hAnsi="仿宋" w:eastAsia="仿宋" w:cs="仿宋"/>
          <w:sz w:val="32"/>
          <w:szCs w:val="32"/>
        </w:rPr>
        <w:t>（www.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yanhu</w:t>
      </w:r>
      <w:r>
        <w:rPr>
          <w:rFonts w:hint="eastAsia" w:ascii="仿宋" w:hAnsi="仿宋" w:eastAsia="仿宋" w:cs="仿宋"/>
          <w:sz w:val="32"/>
          <w:szCs w:val="32"/>
        </w:rPr>
        <w:t>.gov.cn）下载。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2020年，我区坚持以习近平新时代中国特色社会主义思想为指导，认真贯彻落实国家、省、市关于政务公开工作的决策部署，以高质量公开助推法治政府和服务型政府建设，不断拓展公开内容，创新公开形式，以公开促落实、促规范、促服务，政务公开工作取得积极成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（一）重点任务全完成。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区以基层政务公开标准化规范化为抓手，在组织机构、机制流程、公开方式、解读回应、平台建管等方面持续发力，不断提升全区政务公开工作的质量和水平，圆满完成了2020年度政务公开重点任务。一是制定印发《运城市盐湖区全面推进基层政务公开标准化规范化工作方案》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运城市盐湖区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2020年政务公开工作要点》等文件，明确全年目标和重点工作；二是修订完善信息发布、政策解读、回应关切、依申请公开、监督考核等工作机制，推进政务公开内部流程标准化；三是汇编完成区、乡两级政府政务公开事项标准目录，政务服务大厅、便民服务中心设立政务公开专区，推动基层政务公开全覆盖；四是抓好文件公开属性源头认定，所有政策性文件做到应公开尽公开，同时加强政策解读，在解读的生动性、易读性上下功夫，政策解读率达100%，多样化解读率达100%，主动公开的质量和效果得到明显提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（二）监管考核全覆盖。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区全面加强政府网站和政务新媒体监管，由区政府办牵头，日常认真开展监督检查，督促各单位做好政府网站内容保障工作、认真履行政务新媒体主办责任；年底组织实施政务公开工作考核，通过现场走访和网上检查，对全区21个乡镇（街道）和39个政府部门政务公开工作开展情况进行检查指导，做到以考核谋工作、以考核促发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（三）政府声音广传播。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政府网站方面，区政府门户网站作为全区唯一的政府网站，规范设置栏目内容，权威发布领导动态信息、政府政策性文件及解读、重点领域及乡镇（街道）主动公开的政府信息，开设统一的互动交流和在线办事入口，逐步成为社会公众获取政府信息的第一来源、互动交流的重要渠道。2020年发布各类信息共计3327条，公开答复留言14条，网站总访问量累计达2000万人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政务新媒体方面，全区政府系统现有政务新媒体12个，其中，区政府账号1个，高新区账号1个，乡镇账号2个，区直部门账号8个，形成了以区政府政务新媒体为统领，各单位整体协同、响应迅速的政务新媒体矩阵。“盐湖政务”微信公众号由区政府办主办，截至目前关注人数达15315人，2020年共推送图文消息1815条，围绕政府中心工作，加大主动公开力度，打造了全新对外宣传窗口，树立了政府良好形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二、主动公开政府信息情况</w:t>
      </w:r>
    </w:p>
    <w:tbl>
      <w:tblPr>
        <w:tblStyle w:val="5"/>
        <w:tblW w:w="8306" w:type="dxa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0"/>
        <w:gridCol w:w="1995"/>
        <w:gridCol w:w="1650"/>
        <w:gridCol w:w="196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本年新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制作数量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本年新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公开数量</w:t>
            </w:r>
          </w:p>
        </w:tc>
        <w:tc>
          <w:tcPr>
            <w:tcW w:w="19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对外公开总数量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规章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规范性文件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9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上一年项目数量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本年增/减</w:t>
            </w:r>
          </w:p>
        </w:tc>
        <w:tc>
          <w:tcPr>
            <w:tcW w:w="19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行政许可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205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-4</w:t>
            </w:r>
          </w:p>
        </w:tc>
        <w:tc>
          <w:tcPr>
            <w:tcW w:w="19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45241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其他对外管理服务事项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+0</w:t>
            </w:r>
          </w:p>
        </w:tc>
        <w:tc>
          <w:tcPr>
            <w:tcW w:w="19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上一年项目数量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本年增/减</w:t>
            </w:r>
          </w:p>
        </w:tc>
        <w:tc>
          <w:tcPr>
            <w:tcW w:w="19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行政处罚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1778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+2</w:t>
            </w:r>
          </w:p>
        </w:tc>
        <w:tc>
          <w:tcPr>
            <w:tcW w:w="19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行政强制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332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+3</w:t>
            </w:r>
          </w:p>
        </w:tc>
        <w:tc>
          <w:tcPr>
            <w:tcW w:w="19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上一年项目数量</w:t>
            </w:r>
          </w:p>
        </w:tc>
        <w:tc>
          <w:tcPr>
            <w:tcW w:w="361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本年增/减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行政事业性收费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1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第二十条第（九）项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采购项目数量</w:t>
            </w:r>
          </w:p>
        </w:tc>
        <w:tc>
          <w:tcPr>
            <w:tcW w:w="361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采购总金额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政府集中采购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3611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33633789.63万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三、收到和处理政府信息公开申请情况</w:t>
      </w:r>
    </w:p>
    <w:tbl>
      <w:tblPr>
        <w:tblStyle w:val="5"/>
        <w:tblW w:w="8300" w:type="dxa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3"/>
        <w:gridCol w:w="911"/>
        <w:gridCol w:w="1960"/>
        <w:gridCol w:w="771"/>
        <w:gridCol w:w="715"/>
        <w:gridCol w:w="715"/>
        <w:gridCol w:w="771"/>
        <w:gridCol w:w="911"/>
        <w:gridCol w:w="631"/>
        <w:gridCol w:w="24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44" w:type="dxa"/>
            <w:gridSpan w:val="3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756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44" w:type="dxa"/>
            <w:gridSpan w:val="3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7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自然人</w:t>
            </w:r>
          </w:p>
        </w:tc>
        <w:tc>
          <w:tcPr>
            <w:tcW w:w="3743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法人或其他组织</w:t>
            </w:r>
          </w:p>
        </w:tc>
        <w:tc>
          <w:tcPr>
            <w:tcW w:w="24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44" w:type="dxa"/>
            <w:gridSpan w:val="3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7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商业企业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科研机构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社会公益组织</w:t>
            </w:r>
          </w:p>
        </w:tc>
        <w:tc>
          <w:tcPr>
            <w:tcW w:w="91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法律服务机构</w:t>
            </w: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242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4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1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4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1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三、本年度办理结果</w:t>
            </w:r>
          </w:p>
        </w:tc>
        <w:tc>
          <w:tcPr>
            <w:tcW w:w="287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（一）予以公开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1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87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1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（三）不予公开</w:t>
            </w:r>
          </w:p>
        </w:tc>
        <w:tc>
          <w:tcPr>
            <w:tcW w:w="19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1.属于国家秘密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1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2.其他法律行政法规禁止公开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1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3.危及“三安全一稳定”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1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4.保护第三方合法权益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1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5.属于三类内部事务信息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1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6.属于四类过程性信息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1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7.属于行政执法案卷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1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8.属于行政查询事项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1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（四）无法提供</w:t>
            </w:r>
          </w:p>
        </w:tc>
        <w:tc>
          <w:tcPr>
            <w:tcW w:w="19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1.本机关不掌握相关政府信息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1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2.没有现成信息需要另行制作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1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3.补正后申请内容仍不明确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1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（五）不予处理</w:t>
            </w:r>
          </w:p>
        </w:tc>
        <w:tc>
          <w:tcPr>
            <w:tcW w:w="19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1.信访举报投诉类申请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1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2.重复申请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1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3.要求提供公开出版物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1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4.无正当理由大量反复申请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1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1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87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（六）其他处理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1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87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（七）总计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1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4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四、结转下年度继续办理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1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4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四、政府信息公开行政复议、行政诉讼情况</w:t>
      </w:r>
    </w:p>
    <w:tbl>
      <w:tblPr>
        <w:tblStyle w:val="5"/>
        <w:tblW w:w="8347" w:type="dxa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1"/>
        <w:gridCol w:w="550"/>
        <w:gridCol w:w="550"/>
        <w:gridCol w:w="550"/>
        <w:gridCol w:w="609"/>
        <w:gridCol w:w="550"/>
        <w:gridCol w:w="550"/>
        <w:gridCol w:w="550"/>
        <w:gridCol w:w="550"/>
        <w:gridCol w:w="608"/>
        <w:gridCol w:w="550"/>
        <w:gridCol w:w="550"/>
        <w:gridCol w:w="550"/>
        <w:gridCol w:w="550"/>
        <w:gridCol w:w="52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0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行政复议</w:t>
            </w:r>
          </w:p>
        </w:tc>
        <w:tc>
          <w:tcPr>
            <w:tcW w:w="5537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结果维持</w:t>
            </w:r>
          </w:p>
        </w:tc>
        <w:tc>
          <w:tcPr>
            <w:tcW w:w="55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结果纠正</w:t>
            </w:r>
          </w:p>
        </w:tc>
        <w:tc>
          <w:tcPr>
            <w:tcW w:w="55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其他结果</w:t>
            </w:r>
          </w:p>
        </w:tc>
        <w:tc>
          <w:tcPr>
            <w:tcW w:w="55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尚未审结</w:t>
            </w:r>
          </w:p>
        </w:tc>
        <w:tc>
          <w:tcPr>
            <w:tcW w:w="60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  <w:tc>
          <w:tcPr>
            <w:tcW w:w="2808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未经复议直接起诉</w:t>
            </w:r>
          </w:p>
        </w:tc>
        <w:tc>
          <w:tcPr>
            <w:tcW w:w="2729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09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结果维持</w:t>
            </w:r>
          </w:p>
        </w:tc>
        <w:tc>
          <w:tcPr>
            <w:tcW w:w="5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结果纠正</w:t>
            </w:r>
          </w:p>
        </w:tc>
        <w:tc>
          <w:tcPr>
            <w:tcW w:w="5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其他结果</w:t>
            </w:r>
          </w:p>
        </w:tc>
        <w:tc>
          <w:tcPr>
            <w:tcW w:w="5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尚未审结</w:t>
            </w:r>
          </w:p>
        </w:tc>
        <w:tc>
          <w:tcPr>
            <w:tcW w:w="60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  <w:tc>
          <w:tcPr>
            <w:tcW w:w="5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结果维持</w:t>
            </w:r>
          </w:p>
        </w:tc>
        <w:tc>
          <w:tcPr>
            <w:tcW w:w="5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结果纠正</w:t>
            </w:r>
          </w:p>
        </w:tc>
        <w:tc>
          <w:tcPr>
            <w:tcW w:w="5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其他结果</w:t>
            </w:r>
          </w:p>
        </w:tc>
        <w:tc>
          <w:tcPr>
            <w:tcW w:w="5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尚未审结</w:t>
            </w:r>
          </w:p>
        </w:tc>
        <w:tc>
          <w:tcPr>
            <w:tcW w:w="52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五、存在的主要问题及改进情况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firstLine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　　回顾2020年政府信息公开工作，主要存在以下问题：一是对政策性文件公开属性把关不够严。二是相关工作人员主动公开文件的意识不够强。三是政策解读还存在短板，解读的方式方法比较单一。四是对各乡镇办、区直单位政府信息公开工作指导不够到位。2021年，我们将坚持问题导向，采取以下措施加以解决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firstLine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　　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（一）不断健全完善公开制度。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根据《条例》规定，适时修改完善《政府信息保密审查机制》，合理确定政府信息主动公开、依申请公开、不予公开范围。建立健全依申请公开信息把关审查机制，逐步建立法务提供专业意见、相关科室会商、办公室分管领导审定的处理机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firstLine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　　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（二）不断扩展信息公开渠道。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多举措推动报刊、广播电视、新闻发布会等传统渠道向信息化渠道转变。充分发挥政府网站主渠道、第一平台作用，整合政务新媒体，逐步提高信息公开准确性、一致性、及时性，最大限度便利人民群众和市场主体获取政府信息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firstLine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　　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（三）不断加大交流培训力度。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加大各乡镇办和区直单位信息公开工作人员的培训力度，要求信息公开工作人员加强政策理论学习和理论研究，进一步提升专业水平。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firstLine="0"/>
        <w:jc w:val="left"/>
        <w:textAlignment w:val="auto"/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　　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六、其他需要报告的事项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firstLine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　　无其他需要报告的事项。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1165" w:rightChars="555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154" w:right="1587" w:bottom="1701" w:left="1587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1FA699"/>
    <w:multiLevelType w:val="singleLevel"/>
    <w:tmpl w:val="601FA699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76E01"/>
    <w:rsid w:val="03AD0E5F"/>
    <w:rsid w:val="0DA76E01"/>
    <w:rsid w:val="0EE0247F"/>
    <w:rsid w:val="22693FF4"/>
    <w:rsid w:val="24FD417C"/>
    <w:rsid w:val="34421192"/>
    <w:rsid w:val="40DF25F9"/>
    <w:rsid w:val="432402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2021-02-07T08:29:00Z</dcterms:created>
  <dc:creator>Administrator</dc:creator>
  <cp:lastModifiedBy>吴晓丹</cp:lastModifiedBy>
  <cp:lastPrinted>2021-03-15T08:41:00Z</cp:lastPrinted>
  <dcterms:modified xsi:type="dcterms:W3CDTF">2022-01-05T02:34:55Z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226CAC73132C4708B27D9EADB8C0777A</vt:lpwstr>
  </property>
</Properties>
</file>