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全域旅游政务公开事项目录</w:t>
      </w:r>
    </w:p>
    <w:tbl>
      <w:tblPr>
        <w:tblStyle w:val="6"/>
        <w:tblW w:w="856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69"/>
        <w:gridCol w:w="769"/>
        <w:gridCol w:w="769"/>
        <w:gridCol w:w="866"/>
        <w:gridCol w:w="752"/>
        <w:gridCol w:w="769"/>
        <w:gridCol w:w="769"/>
        <w:gridCol w:w="769"/>
        <w:gridCol w:w="769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序号</w:t>
            </w:r>
          </w:p>
        </w:tc>
        <w:tc>
          <w:tcPr>
            <w:tcW w:w="2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公开事项</w:t>
            </w:r>
          </w:p>
        </w:tc>
        <w:tc>
          <w:tcPr>
            <w:tcW w:w="8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公开依据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公开内容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公开类别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公开形式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公开主体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公开时限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一级目录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二级目录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2"/>
                <w:szCs w:val="22"/>
              </w:rPr>
              <w:t>三级目录</w:t>
            </w:r>
          </w:p>
        </w:tc>
        <w:tc>
          <w:tcPr>
            <w:tcW w:w="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tblCellSpacing w:w="15" w:type="dxa"/>
        </w:trPr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执法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法律法规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旅游法律法规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《中华人民共和国政府信息公开条例》（国务院令第492号）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  <w:shd w:val="clear" w:fill="FFFFFF"/>
              </w:rPr>
              <w:t>各种相关旅游法律法规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决策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运城市盐湖区旅游局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21"/>
                <w:szCs w:val="21"/>
              </w:rPr>
              <w:t>政策出台（变更）之日起20个工作日内</w:t>
            </w: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区政府门户网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15" w:type="dxa"/>
        </w:trPr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行政处罚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旅游行政处罚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《中华人民共和国政府信息公开条例》（国务院令第492号）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  <w:shd w:val="clear" w:fill="FFFFFF"/>
              </w:rPr>
              <w:t>受理群众投诉或举报工作的规范；旅游行政处罚工作程序；实施行政处罚的依据、证据；行政处罚决定书。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信息发布之日起20个工作日</w:t>
            </w: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15" w:type="dxa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扶持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企业扶持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旅游企业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扶持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《中华人民共和国政府信息公开条例》（国务院令第492号）。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受扶持企业的基本情况和扶持资金的使用情况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 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运城市盐湖区旅游局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信息发布之日起20个工作日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区政府门户网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15" w:type="dxa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文件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全域旅游文件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盐湖区全域旅游推进计划实施方案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《中华人民共和国政府信息公开条例》（国务院令第492号）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组织机构、目标任务、重点工作、任务分解等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运城市盐湖区旅游局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信息发布受理之日起20个工作日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区政府门户网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ascii="Calibri" w:hAnsi="Calibri" w:eastAsia="微软雅黑" w:cs="Calibri"/>
          <w:i w:val="0"/>
          <w:caps w:val="0"/>
          <w:color w:val="666666"/>
          <w:spacing w:val="4"/>
          <w:sz w:val="21"/>
          <w:szCs w:val="21"/>
        </w:rPr>
        <w:t> </w:t>
      </w:r>
    </w:p>
    <w:p>
      <w:r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  <w:t>附件下载：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instrText xml:space="preserve"> HYPERLINK "http://yanhu.gov.cn//upload/1530243011053_%E5%85%A8%E5%9F%9F%E6%97%85%E6%B8%B8%E6%94%BF%E5%8A%A1%E5%85%AC%E5%BC%80%E4%BA%8B%E9%A1%B9%E7%9B%AE%E5%BD%95.docx"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t> 全域旅游政务公开事项目录.docx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5662"/>
    <w:rsid w:val="23AD17FF"/>
    <w:rsid w:val="2B131B1B"/>
    <w:rsid w:val="6BB256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2020-01-22T04:27:00Z</dcterms:created>
  <dc:creator>Administrator</dc:creator>
  <cp:lastModifiedBy>Administrator</cp:lastModifiedBy>
  <dcterms:modified xsi:type="dcterms:W3CDTF">2020-01-22T04:27:25Z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