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</w:rPr>
        <w:t>盐湖区信息发布流程及管理规范</w:t>
      </w:r>
    </w:p>
    <w:bookmarkEnd w:id="0"/>
    <w:p>
      <w:pPr>
        <w:rPr>
          <w:rFonts w:hint="eastAsia"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00000"/>
          <w:spacing w:val="4"/>
          <w:sz w:val="27"/>
          <w:szCs w:val="27"/>
          <w:lang w:val="en-US" w:eastAsia="zh-CN"/>
        </w:rPr>
        <w:t>2018.6.1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信息发布流程规范了各部门在公开载体上发布政务信息的工作流程，具体流程图见下图。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1B1B1B"/>
          <w:spacing w:val="4"/>
          <w:sz w:val="21"/>
          <w:szCs w:val="21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caps w:val="0"/>
          <w:color w:val="1B1B1B"/>
          <w:spacing w:val="4"/>
          <w:sz w:val="21"/>
          <w:szCs w:val="21"/>
          <w:shd w:val="clear" w:fill="FFFFFF"/>
        </w:rPr>
        <w:instrText xml:space="preserve">INCLUDEPICTURE \d "http://yanhu.gov.cn/ueditor/jsp/upload/image/20180905/1536117323335062876.png" \* MERGEFORMATINET </w:instrText>
      </w:r>
      <w:r>
        <w:rPr>
          <w:rFonts w:ascii="微软雅黑" w:hAnsi="微软雅黑" w:eastAsia="微软雅黑" w:cs="微软雅黑"/>
          <w:i w:val="0"/>
          <w:caps w:val="0"/>
          <w:color w:val="1B1B1B"/>
          <w:spacing w:val="4"/>
          <w:sz w:val="21"/>
          <w:szCs w:val="21"/>
          <w:shd w:val="clear" w:fill="FFFFFF"/>
        </w:rPr>
        <w:fldChar w:fldCharType="separate"/>
      </w:r>
      <w:r>
        <w:rPr>
          <w:rFonts w:ascii="微软雅黑" w:hAnsi="微软雅黑" w:eastAsia="微软雅黑" w:cs="微软雅黑"/>
          <w:i w:val="0"/>
          <w:caps w:val="0"/>
          <w:color w:val="1B1B1B"/>
          <w:spacing w:val="4"/>
          <w:sz w:val="21"/>
          <w:szCs w:val="21"/>
          <w:shd w:val="clear" w:fill="FFFFFF"/>
        </w:rPr>
        <w:drawing>
          <wp:inline distT="0" distB="0" distL="114300" distR="114300">
            <wp:extent cx="5276850" cy="5248275"/>
            <wp:effectExtent l="0" t="0" r="0" b="9525"/>
            <wp:docPr id="2" name="图片 1" descr="15361173233350628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53611732333506287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1B1B1B"/>
          <w:spacing w:val="4"/>
          <w:sz w:val="21"/>
          <w:szCs w:val="21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1B1B1B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（公开发布流程图）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2.流程主要节点内容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2.1 信息发布申请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行政机关将政务信息在公开载体上发布之前，需首先提出信息发布申请。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2.2 公开载体管理部门审批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公开载体管理部门在收到行政机关信息发布申请后及时进行审批。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2.3 信息发布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公开载体管理部门审批通过后，管理人员在该载体按时发布信息。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0"/>
          <w:sz w:val="31"/>
          <w:szCs w:val="31"/>
          <w:shd w:val="clear" w:fill="FFFFFF"/>
        </w:rPr>
        <w:t>2.4 信息内容整改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645"/>
        <w:jc w:val="both"/>
        <w:textAlignment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4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1B1B1B"/>
          <w:spacing w:val="4"/>
          <w:sz w:val="31"/>
          <w:szCs w:val="31"/>
          <w:shd w:val="clear" w:fill="FFFFFF"/>
        </w:rPr>
        <w:t>公开载体管理部门对信息内容进行审查后，发现不符合在该载体发布要求的，给出不同意在该载体的理由和整改意见，行政机关根据要求进行整改。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11591"/>
    <w:rsid w:val="23AD17FF"/>
    <w:rsid w:val="2B131B1B"/>
    <w:rsid w:val="3E5115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2020-01-22T04:17:00Z</dcterms:created>
  <dc:creator>Administrator</dc:creator>
  <cp:lastModifiedBy>Administrator</cp:lastModifiedBy>
  <dcterms:modified xsi:type="dcterms:W3CDTF">2020-01-22T04:17:55Z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